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94" w:rsidRDefault="00E41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Style w:val="stitre"/>
          <w:rFonts w:ascii="Arial" w:hAnsi="Arial" w:cs="Arial"/>
          <w:b/>
          <w:bCs/>
          <w:sz w:val="28"/>
          <w:szCs w:val="28"/>
        </w:rPr>
        <w:t xml:space="preserve">Épreuve orale de contrôle en SVT </w:t>
      </w:r>
      <w:r w:rsidRPr="007262D5">
        <w:rPr>
          <w:rStyle w:val="stitre"/>
          <w:rFonts w:ascii="Arial" w:hAnsi="Arial" w:cs="Arial"/>
          <w:b/>
          <w:bCs/>
          <w:sz w:val="28"/>
          <w:szCs w:val="28"/>
        </w:rPr>
        <w:t>non spécialité</w:t>
      </w:r>
      <w:r w:rsidR="007A6E9A">
        <w:rPr>
          <w:rFonts w:ascii="Arial" w:hAnsi="Arial" w:cs="Arial"/>
          <w:sz w:val="28"/>
          <w:szCs w:val="28"/>
        </w:rPr>
        <w:t xml:space="preserve"> </w:t>
      </w:r>
      <w:r w:rsidRPr="007A6E9A">
        <w:rPr>
          <w:rStyle w:val="stitre"/>
          <w:b/>
          <w:bCs/>
          <w:color w:val="FF0000"/>
        </w:rPr>
        <w:br/>
      </w:r>
      <w:r w:rsidR="007A6E9A">
        <w:rPr>
          <w:rStyle w:val="stitre"/>
          <w:rFonts w:ascii="Arial" w:hAnsi="Arial" w:cs="Arial"/>
          <w:b/>
          <w:bCs/>
          <w:sz w:val="28"/>
          <w:szCs w:val="28"/>
        </w:rPr>
        <w:t xml:space="preserve">Sujet N° </w:t>
      </w:r>
      <w:r w:rsidR="00CA1AC2">
        <w:rPr>
          <w:rStyle w:val="stitre"/>
          <w:rFonts w:ascii="Arial" w:hAnsi="Arial" w:cs="Arial"/>
          <w:b/>
          <w:bCs/>
          <w:sz w:val="32"/>
        </w:rPr>
        <w:t xml:space="preserve">  33</w:t>
      </w:r>
      <w:bookmarkStart w:id="0" w:name="_GoBack"/>
      <w:bookmarkEnd w:id="0"/>
      <w:r>
        <w:rPr>
          <w:rStyle w:val="stitre"/>
          <w:rFonts w:ascii="Arial" w:hAnsi="Arial" w:cs="Arial"/>
          <w:b/>
          <w:bCs/>
          <w:sz w:val="32"/>
        </w:rPr>
        <w:t xml:space="preserve">                  </w:t>
      </w:r>
      <w:r>
        <w:rPr>
          <w:rFonts w:ascii="Arial" w:hAnsi="Arial" w:cs="Arial"/>
          <w:sz w:val="32"/>
        </w:rPr>
        <w:br/>
      </w:r>
      <w:r>
        <w:rPr>
          <w:rFonts w:ascii="Arial" w:hAnsi="Arial" w:cs="Arial"/>
          <w:sz w:val="28"/>
          <w:szCs w:val="28"/>
        </w:rPr>
        <w:t>Temps de préparation : 20 minutes</w:t>
      </w:r>
    </w:p>
    <w:p w:rsidR="00E41F94" w:rsidRDefault="00E41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Durée de présentation orale : 20 minutes</w:t>
      </w:r>
    </w:p>
    <w:p w:rsidR="00B67512" w:rsidRDefault="00B67512">
      <w:pPr>
        <w:jc w:val="both"/>
        <w:rPr>
          <w:rFonts w:ascii="Arial" w:hAnsi="Arial" w:cs="Arial"/>
          <w:sz w:val="20"/>
        </w:rPr>
      </w:pPr>
    </w:p>
    <w:p w:rsidR="00E41F94" w:rsidRDefault="00E41F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candidat  traitera les </w:t>
      </w:r>
      <w:r>
        <w:rPr>
          <w:rFonts w:ascii="Arial" w:hAnsi="Arial" w:cs="Arial"/>
          <w:b/>
        </w:rPr>
        <w:t>deux questions.</w:t>
      </w:r>
      <w:r>
        <w:rPr>
          <w:rFonts w:ascii="Arial" w:hAnsi="Arial" w:cs="Arial"/>
        </w:rPr>
        <w:t xml:space="preserve"> Il est possible d’utiliser des feuilles de brouillon durant la préparation, mais la présentation se fera </w:t>
      </w:r>
      <w:r>
        <w:rPr>
          <w:rFonts w:ascii="Arial" w:hAnsi="Arial" w:cs="Arial"/>
          <w:b/>
        </w:rPr>
        <w:t>oralement</w:t>
      </w:r>
      <w:r>
        <w:rPr>
          <w:rFonts w:ascii="Arial" w:hAnsi="Arial" w:cs="Arial"/>
        </w:rPr>
        <w:t>.</w:t>
      </w:r>
    </w:p>
    <w:p w:rsidR="00E41F94" w:rsidRDefault="00E41F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L’examinateur posera des questions complémentaires durant les échanges.</w:t>
      </w:r>
    </w:p>
    <w:p w:rsidR="00E41F94" w:rsidRDefault="00E41F94">
      <w:p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La note sur </w:t>
      </w:r>
      <w:r>
        <w:rPr>
          <w:rFonts w:ascii="Arial" w:hAnsi="Arial" w:cs="Arial"/>
          <w:b/>
        </w:rPr>
        <w:t>20 points</w:t>
      </w:r>
      <w:r>
        <w:rPr>
          <w:rFonts w:ascii="Arial" w:hAnsi="Arial" w:cs="Arial"/>
        </w:rPr>
        <w:t xml:space="preserve"> prendra en compte pour moitié  les </w:t>
      </w:r>
      <w:r>
        <w:rPr>
          <w:rFonts w:ascii="Arial" w:hAnsi="Arial" w:cs="Arial"/>
          <w:b/>
        </w:rPr>
        <w:t>connaissances</w:t>
      </w:r>
      <w:r>
        <w:rPr>
          <w:rFonts w:ascii="Arial" w:hAnsi="Arial" w:cs="Arial"/>
        </w:rPr>
        <w:t xml:space="preserve"> et pour moitié le </w:t>
      </w:r>
      <w:r>
        <w:rPr>
          <w:rFonts w:ascii="Arial" w:hAnsi="Arial" w:cs="Arial"/>
          <w:b/>
        </w:rPr>
        <w:t>raisonnement</w:t>
      </w:r>
      <w:r>
        <w:rPr>
          <w:rFonts w:ascii="Arial" w:hAnsi="Arial" w:cs="Arial"/>
        </w:rPr>
        <w:t xml:space="preserve"> à partir de </w:t>
      </w:r>
      <w:r>
        <w:rPr>
          <w:rFonts w:ascii="Arial" w:hAnsi="Arial" w:cs="Arial"/>
          <w:b/>
        </w:rPr>
        <w:t>l’exploitation des documents</w:t>
      </w:r>
      <w:r>
        <w:rPr>
          <w:rFonts w:ascii="Arial" w:hAnsi="Arial" w:cs="Arial"/>
        </w:rPr>
        <w:t xml:space="preserve">. </w:t>
      </w:r>
    </w:p>
    <w:p w:rsidR="00431146" w:rsidRDefault="00431146">
      <w:pPr>
        <w:jc w:val="both"/>
        <w:rPr>
          <w:rFonts w:ascii="Arial" w:hAnsi="Arial" w:cs="Arial"/>
          <w:b/>
          <w:sz w:val="28"/>
          <w:u w:val="single"/>
        </w:rPr>
      </w:pPr>
    </w:p>
    <w:p w:rsidR="00FC517E" w:rsidRPr="00FC517E" w:rsidRDefault="00B67512" w:rsidP="00FC517E">
      <w:p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Question 1</w:t>
      </w:r>
      <w:r w:rsidR="00FC517E" w:rsidRPr="00FC517E">
        <w:rPr>
          <w:rFonts w:ascii="Arial" w:hAnsi="Arial" w:cs="Arial"/>
          <w:b/>
          <w:sz w:val="28"/>
          <w:u w:val="single"/>
        </w:rPr>
        <w:t xml:space="preserve"> : </w:t>
      </w:r>
    </w:p>
    <w:p w:rsidR="00FC517E" w:rsidRPr="00B67512" w:rsidRDefault="00FC517E" w:rsidP="00FC517E">
      <w:pPr>
        <w:jc w:val="both"/>
        <w:rPr>
          <w:rFonts w:ascii="Arial" w:hAnsi="Arial" w:cs="Arial"/>
          <w:b/>
          <w:sz w:val="20"/>
          <w:u w:val="single"/>
        </w:rPr>
      </w:pPr>
    </w:p>
    <w:p w:rsidR="00FC517E" w:rsidRPr="00FC517E" w:rsidRDefault="00FC517E" w:rsidP="00FC517E">
      <w:pPr>
        <w:jc w:val="both"/>
        <w:rPr>
          <w:rFonts w:ascii="Arial" w:hAnsi="Arial" w:cs="Arial"/>
        </w:rPr>
      </w:pPr>
      <w:r w:rsidRPr="00FC517E">
        <w:rPr>
          <w:rFonts w:ascii="Arial" w:hAnsi="Arial" w:cs="Arial"/>
        </w:rPr>
        <w:t>La myasthénie se caractérise par une difficulté à contracter efficacement les muscles.</w:t>
      </w:r>
    </w:p>
    <w:p w:rsidR="00FC517E" w:rsidRPr="00FC517E" w:rsidRDefault="00FC517E" w:rsidP="00FC517E">
      <w:pPr>
        <w:jc w:val="both"/>
        <w:rPr>
          <w:rFonts w:ascii="Arial" w:hAnsi="Arial" w:cs="Arial"/>
        </w:rPr>
      </w:pPr>
      <w:r w:rsidRPr="00FC517E">
        <w:rPr>
          <w:rFonts w:ascii="Arial" w:hAnsi="Arial" w:cs="Arial"/>
        </w:rPr>
        <w:t>On mesure les potentiels d’action musculaires, grâce au dispositif représenté sur le document 1.</w:t>
      </w:r>
    </w:p>
    <w:p w:rsidR="00FC517E" w:rsidRPr="00FC517E" w:rsidRDefault="00FC517E" w:rsidP="00FC517E">
      <w:pPr>
        <w:jc w:val="both"/>
        <w:rPr>
          <w:rFonts w:ascii="Arial" w:hAnsi="Arial" w:cs="Arial"/>
        </w:rPr>
      </w:pPr>
    </w:p>
    <w:p w:rsidR="00FC517E" w:rsidRPr="00B67512" w:rsidRDefault="00FC517E" w:rsidP="00FC517E">
      <w:pPr>
        <w:jc w:val="both"/>
        <w:rPr>
          <w:rFonts w:ascii="Arial" w:hAnsi="Arial" w:cs="Arial"/>
          <w:szCs w:val="22"/>
        </w:rPr>
      </w:pPr>
      <w:r w:rsidRPr="00B67512">
        <w:rPr>
          <w:rFonts w:ascii="Arial" w:hAnsi="Arial" w:cs="Arial"/>
          <w:szCs w:val="22"/>
          <w:u w:val="single"/>
        </w:rPr>
        <w:t>Document 1</w:t>
      </w:r>
      <w:r w:rsidRPr="00B67512">
        <w:rPr>
          <w:rFonts w:ascii="Arial" w:hAnsi="Arial" w:cs="Arial"/>
          <w:szCs w:val="22"/>
        </w:rPr>
        <w:t> </w:t>
      </w:r>
      <w:r w:rsidR="00771292" w:rsidRPr="00B67512">
        <w:rPr>
          <w:rFonts w:ascii="Arial" w:hAnsi="Arial" w:cs="Arial"/>
          <w:szCs w:val="22"/>
        </w:rPr>
        <w:t>: Dispositif</w:t>
      </w:r>
      <w:r w:rsidRPr="00B67512">
        <w:rPr>
          <w:rFonts w:ascii="Arial" w:hAnsi="Arial" w:cs="Arial"/>
          <w:szCs w:val="22"/>
        </w:rPr>
        <w:t xml:space="preserve"> de mesure et résultats des enregistrements </w:t>
      </w:r>
      <w:r w:rsidR="004E0B14">
        <w:rPr>
          <w:rFonts w:ascii="Arial" w:hAnsi="Arial" w:cs="Arial"/>
        </w:rPr>
        <w:t>d</w:t>
      </w:r>
      <w:r w:rsidR="004E0B14" w:rsidRPr="00FC517E">
        <w:rPr>
          <w:rFonts w:ascii="Arial" w:hAnsi="Arial" w:cs="Arial"/>
        </w:rPr>
        <w:t>es potentiels d’action musculaires</w:t>
      </w:r>
      <w:r w:rsidR="004E0B14">
        <w:rPr>
          <w:rFonts w:ascii="Arial" w:hAnsi="Arial" w:cs="Arial"/>
          <w:i/>
          <w:sz w:val="20"/>
          <w:szCs w:val="22"/>
        </w:rPr>
        <w:t xml:space="preserve"> </w:t>
      </w:r>
      <w:r w:rsidR="004E0B14" w:rsidRPr="004E0B14">
        <w:rPr>
          <w:rFonts w:ascii="Arial" w:hAnsi="Arial" w:cs="Arial"/>
          <w:szCs w:val="22"/>
        </w:rPr>
        <w:t xml:space="preserve">chez un individu sain et un individu souffrant de myasthénie </w:t>
      </w:r>
      <w:r w:rsidRPr="0012539A">
        <w:rPr>
          <w:rFonts w:ascii="Arial" w:hAnsi="Arial" w:cs="Arial"/>
          <w:i/>
          <w:sz w:val="20"/>
          <w:szCs w:val="22"/>
        </w:rPr>
        <w:t>(</w:t>
      </w:r>
      <w:r w:rsidR="0012539A" w:rsidRPr="0012539A">
        <w:rPr>
          <w:rFonts w:ascii="Arial" w:hAnsi="Arial" w:cs="Arial"/>
          <w:i/>
          <w:sz w:val="20"/>
          <w:szCs w:val="22"/>
        </w:rPr>
        <w:t xml:space="preserve">d’après </w:t>
      </w:r>
      <w:r w:rsidRPr="0012539A">
        <w:rPr>
          <w:rFonts w:ascii="Arial" w:hAnsi="Arial" w:cs="Arial"/>
          <w:i/>
          <w:sz w:val="20"/>
          <w:szCs w:val="22"/>
        </w:rPr>
        <w:t>Nathan TS)</w:t>
      </w:r>
    </w:p>
    <w:p w:rsidR="00FC517E" w:rsidRPr="00FC517E" w:rsidRDefault="00FC517E" w:rsidP="00FC517E">
      <w:pPr>
        <w:jc w:val="both"/>
      </w:pPr>
    </w:p>
    <w:p w:rsidR="00FC517E" w:rsidRPr="00FC517E" w:rsidRDefault="00484095" w:rsidP="004E0B14">
      <w:pPr>
        <w:jc w:val="center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>
            <wp:extent cx="3145155" cy="1690370"/>
            <wp:effectExtent l="19050" t="0" r="0" b="0"/>
            <wp:docPr id="1" name="Image 1" descr="img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g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1755" r="2412" b="46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17E" w:rsidRPr="00FC517E">
        <w:t xml:space="preserve"> </w:t>
      </w:r>
      <w:r w:rsidR="004E0B14">
        <w:t xml:space="preserve">    </w:t>
      </w:r>
      <w:r>
        <w:rPr>
          <w:noProof/>
        </w:rPr>
        <w:drawing>
          <wp:inline distT="0" distB="0" distL="0" distR="0">
            <wp:extent cx="3262630" cy="1281430"/>
            <wp:effectExtent l="19050" t="0" r="0" b="0"/>
            <wp:docPr id="20" name="Image 1" descr="img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g0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41" t="61024" r="2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128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B14" w:rsidRDefault="004E0B14" w:rsidP="00FC517E">
      <w:pPr>
        <w:jc w:val="both"/>
        <w:rPr>
          <w:rFonts w:ascii="Arial" w:hAnsi="Arial" w:cs="Arial"/>
        </w:rPr>
      </w:pPr>
    </w:p>
    <w:p w:rsidR="004E0B14" w:rsidRDefault="004E0B14" w:rsidP="00FC517E">
      <w:pPr>
        <w:jc w:val="both"/>
        <w:rPr>
          <w:rFonts w:ascii="Arial" w:hAnsi="Arial" w:cs="Arial"/>
        </w:rPr>
      </w:pPr>
    </w:p>
    <w:p w:rsidR="00FC517E" w:rsidRPr="00FC517E" w:rsidRDefault="00FC517E" w:rsidP="00FC517E">
      <w:pPr>
        <w:jc w:val="both"/>
        <w:rPr>
          <w:rFonts w:ascii="Arial" w:hAnsi="Arial" w:cs="Arial"/>
        </w:rPr>
      </w:pPr>
    </w:p>
    <w:p w:rsidR="004E0B14" w:rsidRDefault="00FC517E" w:rsidP="004E0B14">
      <w:pPr>
        <w:jc w:val="both"/>
        <w:rPr>
          <w:rFonts w:ascii="Arial" w:hAnsi="Arial" w:cs="Arial"/>
        </w:rPr>
      </w:pPr>
      <w:r w:rsidRPr="00FC517E">
        <w:rPr>
          <w:rFonts w:ascii="Arial" w:hAnsi="Arial" w:cs="Arial"/>
          <w:u w:val="single"/>
        </w:rPr>
        <w:t>Document 2</w:t>
      </w:r>
      <w:r w:rsidRPr="00FC517E">
        <w:rPr>
          <w:rFonts w:ascii="Arial" w:hAnsi="Arial" w:cs="Arial"/>
        </w:rPr>
        <w:t xml:space="preserve"> : </w:t>
      </w:r>
      <w:r w:rsidR="004E0B14">
        <w:rPr>
          <w:rFonts w:ascii="Arial" w:hAnsi="Arial" w:cs="Arial"/>
        </w:rPr>
        <w:t xml:space="preserve">Localisation de </w:t>
      </w:r>
      <w:r w:rsidR="004E0B14" w:rsidRPr="00FC517E">
        <w:rPr>
          <w:rFonts w:ascii="Arial" w:hAnsi="Arial" w:cs="Arial"/>
        </w:rPr>
        <w:t xml:space="preserve">l’alpha-bungarotoxine radioactive </w:t>
      </w:r>
      <w:r w:rsidRPr="00FC517E">
        <w:rPr>
          <w:rFonts w:ascii="Arial" w:hAnsi="Arial" w:cs="Arial"/>
        </w:rPr>
        <w:t xml:space="preserve">sur des portions de cellules musculaires </w:t>
      </w:r>
      <w:r w:rsidR="0012539A" w:rsidRPr="0012539A">
        <w:rPr>
          <w:rFonts w:ascii="Arial" w:hAnsi="Arial" w:cs="Arial"/>
          <w:i/>
          <w:sz w:val="20"/>
          <w:szCs w:val="22"/>
        </w:rPr>
        <w:t>(d’après Nathan TS)</w:t>
      </w:r>
    </w:p>
    <w:p w:rsidR="004E0B14" w:rsidRDefault="004E0B14" w:rsidP="004E0B14">
      <w:pPr>
        <w:jc w:val="both"/>
        <w:rPr>
          <w:rFonts w:ascii="Arial" w:hAnsi="Arial" w:cs="Arial"/>
        </w:rPr>
      </w:pPr>
    </w:p>
    <w:p w:rsidR="004E0B14" w:rsidRPr="00FC517E" w:rsidRDefault="004E0B14" w:rsidP="004E0B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FC517E">
        <w:rPr>
          <w:rFonts w:ascii="Arial" w:hAnsi="Arial" w:cs="Arial"/>
        </w:rPr>
        <w:t xml:space="preserve">’alpha-bungarotoxine </w:t>
      </w:r>
      <w:r>
        <w:rPr>
          <w:rFonts w:ascii="Arial" w:hAnsi="Arial" w:cs="Arial"/>
        </w:rPr>
        <w:t xml:space="preserve">est une </w:t>
      </w:r>
      <w:r w:rsidRPr="00FC517E">
        <w:rPr>
          <w:rFonts w:ascii="Arial" w:hAnsi="Arial" w:cs="Arial"/>
        </w:rPr>
        <w:t xml:space="preserve">molécule </w:t>
      </w:r>
      <w:r>
        <w:rPr>
          <w:rFonts w:ascii="Arial" w:hAnsi="Arial" w:cs="Arial"/>
        </w:rPr>
        <w:t>qui se fixe</w:t>
      </w:r>
      <w:r w:rsidRPr="00FC517E">
        <w:rPr>
          <w:rFonts w:ascii="Arial" w:hAnsi="Arial" w:cs="Arial"/>
        </w:rPr>
        <w:t xml:space="preserve"> spécifiquement sur les récepteurs à acétylcholine de la membrane d’une cellule musculaire</w:t>
      </w:r>
      <w:r>
        <w:rPr>
          <w:rFonts w:ascii="Arial" w:hAnsi="Arial" w:cs="Arial"/>
        </w:rPr>
        <w:t xml:space="preserve">. Le dessin ci-dessous montre la localisation de </w:t>
      </w:r>
      <w:r w:rsidRPr="00FC517E">
        <w:rPr>
          <w:rFonts w:ascii="Arial" w:hAnsi="Arial" w:cs="Arial"/>
        </w:rPr>
        <w:t>l’alpha-bungarotoxine radioactive</w:t>
      </w:r>
      <w:r>
        <w:rPr>
          <w:rFonts w:ascii="Arial" w:hAnsi="Arial" w:cs="Arial"/>
        </w:rPr>
        <w:t>,</w:t>
      </w:r>
      <w:r w:rsidRPr="00FC51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qui apparaît </w:t>
      </w:r>
      <w:r w:rsidRPr="00FC517E">
        <w:rPr>
          <w:rFonts w:ascii="Arial" w:hAnsi="Arial" w:cs="Arial"/>
        </w:rPr>
        <w:t>sous forme de points noirs</w:t>
      </w:r>
      <w:r>
        <w:rPr>
          <w:rFonts w:ascii="Arial" w:hAnsi="Arial" w:cs="Arial"/>
        </w:rPr>
        <w:t>,</w:t>
      </w:r>
      <w:r w:rsidRPr="00FC517E">
        <w:rPr>
          <w:rFonts w:ascii="Arial" w:hAnsi="Arial" w:cs="Arial"/>
        </w:rPr>
        <w:t xml:space="preserve"> chez un individu sain (A) et my</w:t>
      </w:r>
      <w:r>
        <w:rPr>
          <w:rFonts w:ascii="Arial" w:hAnsi="Arial" w:cs="Arial"/>
        </w:rPr>
        <w:t>asthénique (B)</w:t>
      </w:r>
      <w:r w:rsidRPr="00FC517E">
        <w:rPr>
          <w:rFonts w:ascii="Arial" w:hAnsi="Arial" w:cs="Arial"/>
        </w:rPr>
        <w:t>.</w:t>
      </w:r>
    </w:p>
    <w:p w:rsidR="00FC517E" w:rsidRDefault="00FC517E" w:rsidP="00FC517E">
      <w:pPr>
        <w:jc w:val="both"/>
      </w:pPr>
    </w:p>
    <w:p w:rsidR="004E0B14" w:rsidRPr="00FC517E" w:rsidRDefault="004E0B14" w:rsidP="00FC517E">
      <w:pPr>
        <w:jc w:val="both"/>
      </w:pPr>
    </w:p>
    <w:p w:rsidR="00FC517E" w:rsidRPr="00FC517E" w:rsidRDefault="00484095" w:rsidP="004E0B14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4114800" cy="1468755"/>
            <wp:effectExtent l="19050" t="0" r="0" b="0"/>
            <wp:docPr id="2" name="Image 2" descr="img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mg0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6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B14" w:rsidRDefault="004E0B14" w:rsidP="00FC517E">
      <w:pPr>
        <w:rPr>
          <w:sz w:val="20"/>
          <w:szCs w:val="20"/>
        </w:rPr>
      </w:pPr>
    </w:p>
    <w:p w:rsidR="004E0B14" w:rsidRPr="00FC517E" w:rsidRDefault="004E0B14" w:rsidP="00FC517E">
      <w:pPr>
        <w:rPr>
          <w:sz w:val="20"/>
          <w:szCs w:val="20"/>
        </w:rPr>
      </w:pPr>
    </w:p>
    <w:p w:rsidR="00FC517E" w:rsidRPr="00FC517E" w:rsidRDefault="00FC517E" w:rsidP="00FC517E"/>
    <w:p w:rsidR="00FC517E" w:rsidRPr="004E0B14" w:rsidRDefault="00FC517E" w:rsidP="004E0B14">
      <w:pPr>
        <w:tabs>
          <w:tab w:val="left" w:pos="3569"/>
        </w:tabs>
        <w:jc w:val="both"/>
        <w:rPr>
          <w:rFonts w:ascii="Arial" w:hAnsi="Arial" w:cs="Arial"/>
          <w:b/>
        </w:rPr>
      </w:pPr>
      <w:r w:rsidRPr="004E0B14">
        <w:rPr>
          <w:rFonts w:ascii="Arial" w:hAnsi="Arial" w:cs="Arial"/>
          <w:b/>
        </w:rPr>
        <w:t>A partir de l’</w:t>
      </w:r>
      <w:r w:rsidR="001225BA">
        <w:rPr>
          <w:rFonts w:ascii="Arial" w:hAnsi="Arial" w:cs="Arial"/>
          <w:b/>
        </w:rPr>
        <w:t>analyse des documents, expliquer</w:t>
      </w:r>
      <w:r w:rsidRPr="004E0B14">
        <w:rPr>
          <w:rFonts w:ascii="Arial" w:hAnsi="Arial" w:cs="Arial"/>
          <w:b/>
        </w:rPr>
        <w:t xml:space="preserve"> quelle peut être l’origine de la myasthénie.</w:t>
      </w:r>
    </w:p>
    <w:p w:rsidR="00B67512" w:rsidRDefault="00B67512" w:rsidP="00FC517E">
      <w:pPr>
        <w:tabs>
          <w:tab w:val="left" w:pos="3569"/>
        </w:tabs>
        <w:rPr>
          <w:rFonts w:ascii="Arial" w:hAnsi="Arial" w:cs="Arial"/>
          <w:b/>
        </w:rPr>
      </w:pPr>
    </w:p>
    <w:p w:rsidR="004E0B14" w:rsidRDefault="004E0B14" w:rsidP="00FC517E">
      <w:pPr>
        <w:tabs>
          <w:tab w:val="left" w:pos="3569"/>
        </w:tabs>
        <w:rPr>
          <w:rFonts w:ascii="Arial" w:hAnsi="Arial" w:cs="Arial"/>
          <w:b/>
        </w:rPr>
      </w:pPr>
    </w:p>
    <w:p w:rsidR="00B67512" w:rsidRDefault="004E0B14" w:rsidP="00B67512">
      <w:p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Question 2</w:t>
      </w:r>
      <w:r w:rsidR="00B67512">
        <w:rPr>
          <w:rFonts w:ascii="Arial" w:hAnsi="Arial" w:cs="Arial"/>
          <w:b/>
          <w:sz w:val="28"/>
          <w:u w:val="single"/>
        </w:rPr>
        <w:t> :</w:t>
      </w:r>
    </w:p>
    <w:p w:rsidR="004E0B14" w:rsidRPr="00136594" w:rsidRDefault="004E0B14" w:rsidP="00B67512">
      <w:pPr>
        <w:jc w:val="both"/>
        <w:rPr>
          <w:rFonts w:ascii="Arial" w:hAnsi="Arial" w:cs="Arial"/>
          <w:b/>
          <w:sz w:val="20"/>
          <w:u w:val="single"/>
        </w:rPr>
      </w:pPr>
    </w:p>
    <w:p w:rsidR="00B67512" w:rsidRPr="009B7AD3" w:rsidRDefault="00B67512" w:rsidP="00B67512">
      <w:pPr>
        <w:jc w:val="both"/>
        <w:rPr>
          <w:rFonts w:ascii="Arial" w:hAnsi="Arial" w:cs="Arial"/>
        </w:rPr>
      </w:pPr>
      <w:r w:rsidRPr="009B7AD3">
        <w:rPr>
          <w:rFonts w:ascii="Arial" w:hAnsi="Arial" w:cs="Arial"/>
        </w:rPr>
        <w:t>On cherche à comprendre comment se</w:t>
      </w:r>
      <w:r>
        <w:rPr>
          <w:rFonts w:ascii="Arial" w:hAnsi="Arial" w:cs="Arial"/>
        </w:rPr>
        <w:t xml:space="preserve"> réalise l’alimentation en eau </w:t>
      </w:r>
      <w:r w:rsidRPr="009B7AD3">
        <w:rPr>
          <w:rFonts w:ascii="Arial" w:hAnsi="Arial" w:cs="Arial"/>
        </w:rPr>
        <w:t>et en ions minéraux dans la plante</w:t>
      </w:r>
    </w:p>
    <w:p w:rsidR="004E0B14" w:rsidRPr="004E0B14" w:rsidRDefault="004E0B14" w:rsidP="004E0B14">
      <w:pPr>
        <w:tabs>
          <w:tab w:val="left" w:pos="3569"/>
        </w:tabs>
        <w:rPr>
          <w:rFonts w:ascii="Arial" w:hAnsi="Arial" w:cs="Arial"/>
          <w:b/>
        </w:rPr>
      </w:pPr>
    </w:p>
    <w:p w:rsidR="004E0B14" w:rsidRPr="004E0B14" w:rsidRDefault="004E0B14" w:rsidP="004E0B14">
      <w:pPr>
        <w:tabs>
          <w:tab w:val="left" w:pos="3569"/>
        </w:tabs>
        <w:rPr>
          <w:rFonts w:ascii="Arial" w:hAnsi="Arial" w:cs="Arial"/>
        </w:rPr>
      </w:pPr>
      <w:r w:rsidRPr="004E0B14">
        <w:rPr>
          <w:rFonts w:ascii="Arial" w:hAnsi="Arial" w:cs="Arial"/>
          <w:u w:val="single"/>
        </w:rPr>
        <w:t>Document 1</w:t>
      </w:r>
      <w:r>
        <w:rPr>
          <w:rFonts w:ascii="Arial" w:hAnsi="Arial" w:cs="Arial"/>
        </w:rPr>
        <w:t xml:space="preserve"> : E</w:t>
      </w:r>
      <w:r w:rsidRPr="004E0B14">
        <w:rPr>
          <w:rFonts w:ascii="Arial" w:hAnsi="Arial" w:cs="Arial"/>
        </w:rPr>
        <w:t>volution du pourcentage de stomates ouverts en fonction de l’heure de la journée</w:t>
      </w:r>
    </w:p>
    <w:p w:rsidR="004E0B14" w:rsidRPr="00484095" w:rsidRDefault="004E0B14" w:rsidP="004E0B14">
      <w:pPr>
        <w:tabs>
          <w:tab w:val="left" w:pos="3569"/>
        </w:tabs>
        <w:rPr>
          <w:rFonts w:ascii="Arial" w:hAnsi="Arial" w:cs="Arial"/>
          <w:b/>
          <w:sz w:val="18"/>
        </w:rPr>
      </w:pPr>
    </w:p>
    <w:p w:rsidR="004E0B14" w:rsidRPr="004E0B14" w:rsidRDefault="00484095" w:rsidP="00484095">
      <w:pPr>
        <w:tabs>
          <w:tab w:val="left" w:pos="356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8"/>
        </w:rPr>
        <w:drawing>
          <wp:inline distT="0" distB="0" distL="0" distR="0">
            <wp:extent cx="4246245" cy="2383155"/>
            <wp:effectExtent l="19050" t="0" r="1905" b="0"/>
            <wp:docPr id="29" name="Image 29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G_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36" t="9697" r="3633" b="9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B14" w:rsidRPr="004E0B14" w:rsidRDefault="004E0B14" w:rsidP="004E0B14">
      <w:pPr>
        <w:tabs>
          <w:tab w:val="left" w:pos="3569"/>
        </w:tabs>
        <w:rPr>
          <w:rFonts w:ascii="Arial" w:hAnsi="Arial" w:cs="Arial"/>
          <w:b/>
        </w:rPr>
      </w:pPr>
    </w:p>
    <w:p w:rsidR="004E0B14" w:rsidRPr="004E0B14" w:rsidRDefault="004E0B14" w:rsidP="004E0B14">
      <w:pPr>
        <w:tabs>
          <w:tab w:val="left" w:pos="3569"/>
        </w:tabs>
        <w:rPr>
          <w:rFonts w:ascii="Arial" w:hAnsi="Arial" w:cs="Arial"/>
          <w:b/>
        </w:rPr>
      </w:pPr>
    </w:p>
    <w:p w:rsidR="004E0B14" w:rsidRPr="00484095" w:rsidRDefault="004E0B14" w:rsidP="004E0B14">
      <w:pPr>
        <w:tabs>
          <w:tab w:val="left" w:pos="3569"/>
        </w:tabs>
        <w:rPr>
          <w:rFonts w:ascii="Arial" w:hAnsi="Arial" w:cs="Arial"/>
        </w:rPr>
      </w:pPr>
      <w:r w:rsidRPr="00484095">
        <w:rPr>
          <w:rFonts w:ascii="Arial" w:hAnsi="Arial" w:cs="Arial"/>
          <w:u w:val="single"/>
        </w:rPr>
        <w:t>Document 2</w:t>
      </w:r>
      <w:r w:rsidRPr="00484095">
        <w:rPr>
          <w:rFonts w:ascii="Arial" w:hAnsi="Arial" w:cs="Arial"/>
        </w:rPr>
        <w:t xml:space="preserve"> : Flux de sève brute et R.P.A chez un arbuste irrigué (a) et non irrigué (b) depuis une semaine (le R.P.A correspond au rayonnement photosynthétique actif).</w:t>
      </w:r>
    </w:p>
    <w:p w:rsidR="004E0B14" w:rsidRPr="00484095" w:rsidRDefault="004E0B14" w:rsidP="004E0B14">
      <w:pPr>
        <w:tabs>
          <w:tab w:val="left" w:pos="3569"/>
        </w:tabs>
        <w:rPr>
          <w:rFonts w:ascii="Arial" w:hAnsi="Arial" w:cs="Arial"/>
          <w:b/>
          <w:sz w:val="18"/>
        </w:rPr>
      </w:pPr>
    </w:p>
    <w:p w:rsidR="004E0B14" w:rsidRPr="004E0B14" w:rsidRDefault="00484095" w:rsidP="00484095">
      <w:pPr>
        <w:tabs>
          <w:tab w:val="left" w:pos="356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4253230" cy="3401060"/>
            <wp:effectExtent l="19050" t="0" r="0" b="0"/>
            <wp:docPr id="33" name="Image 33" descr="C:\Users\bureau\Documents\Docs ancien ordi 2011\Fabrice\oraux bac 2014\oraux\R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bureau\Documents\Docs ancien ordi 2011\Fabrice\oraux bac 2014\oraux\RP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340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512" w:rsidRDefault="00484095" w:rsidP="00484095">
      <w:pPr>
        <w:tabs>
          <w:tab w:val="left" w:pos="3569"/>
        </w:tabs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(d</w:t>
      </w:r>
      <w:r w:rsidR="004E0B14" w:rsidRPr="00484095">
        <w:rPr>
          <w:rFonts w:ascii="Arial" w:hAnsi="Arial" w:cs="Arial"/>
          <w:i/>
          <w:sz w:val="20"/>
        </w:rPr>
        <w:t>’après Belin – TS Spé 2002</w:t>
      </w:r>
      <w:r>
        <w:rPr>
          <w:rFonts w:ascii="Arial" w:hAnsi="Arial" w:cs="Arial"/>
          <w:i/>
          <w:sz w:val="20"/>
        </w:rPr>
        <w:t>)</w:t>
      </w:r>
    </w:p>
    <w:p w:rsidR="00484095" w:rsidRPr="00484095" w:rsidRDefault="00484095" w:rsidP="00484095">
      <w:pPr>
        <w:tabs>
          <w:tab w:val="left" w:pos="3569"/>
        </w:tabs>
        <w:jc w:val="right"/>
        <w:rPr>
          <w:rFonts w:ascii="Arial" w:hAnsi="Arial" w:cs="Arial"/>
          <w:i/>
          <w:sz w:val="20"/>
        </w:rPr>
      </w:pPr>
    </w:p>
    <w:p w:rsidR="00136594" w:rsidRDefault="00136594" w:rsidP="0048409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noProof/>
        </w:rPr>
      </w:pPr>
      <w:r w:rsidRPr="00814228">
        <w:rPr>
          <w:rFonts w:ascii="Arial" w:hAnsi="Arial" w:cs="Arial"/>
          <w:b/>
          <w:noProof/>
        </w:rPr>
        <w:t xml:space="preserve">- Montrer, à l’aide des informations apportées par le document 1, que le végétal peut s’adapter aux conditions du milieu. </w:t>
      </w:r>
    </w:p>
    <w:p w:rsidR="00136594" w:rsidRDefault="00136594" w:rsidP="0048409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- Rappeler la composition de la sève brute, son origine, son sens de circulation </w:t>
      </w:r>
      <w:r w:rsidRPr="00814228">
        <w:rPr>
          <w:rFonts w:ascii="Arial" w:hAnsi="Arial" w:cs="Arial"/>
          <w:b/>
          <w:noProof/>
        </w:rPr>
        <w:t>et les structures qu’elle emprunte dans la plante.</w:t>
      </w:r>
    </w:p>
    <w:p w:rsidR="00136594" w:rsidRPr="00814228" w:rsidRDefault="00136594" w:rsidP="0048409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noProof/>
        </w:rPr>
      </w:pPr>
      <w:r w:rsidRPr="00814228">
        <w:rPr>
          <w:rFonts w:ascii="Arial" w:hAnsi="Arial" w:cs="Arial"/>
          <w:b/>
          <w:noProof/>
        </w:rPr>
        <w:t>- Sachant que la transpiration est le moteur de la circulation de la sève brute, indiquer l’état des stomates chez les deux végétaux de l’expérience du document 2.</w:t>
      </w:r>
    </w:p>
    <w:p w:rsidR="00814228" w:rsidRPr="00814228" w:rsidRDefault="00136594" w:rsidP="0048409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trike/>
          <w:noProof/>
        </w:rPr>
      </w:pPr>
      <w:r w:rsidRPr="00814228">
        <w:rPr>
          <w:rFonts w:ascii="Arial" w:hAnsi="Arial" w:cs="Arial"/>
          <w:b/>
          <w:noProof/>
        </w:rPr>
        <w:lastRenderedPageBreak/>
        <w:t>- Utiliser l’ensemble des informations apportées par les documents pour préciser quelles sont les conditions permettant un apport optimal en eau et en sels minéraux aux cellules chlorophylliennes.</w:t>
      </w:r>
    </w:p>
    <w:sectPr w:rsidR="00814228" w:rsidRPr="00814228" w:rsidSect="009668C3"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F29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2E755A"/>
    <w:multiLevelType w:val="hybridMultilevel"/>
    <w:tmpl w:val="5A8E8EEE"/>
    <w:lvl w:ilvl="0" w:tplc="2B245A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B3A35"/>
    <w:multiLevelType w:val="hybridMultilevel"/>
    <w:tmpl w:val="24D4220E"/>
    <w:lvl w:ilvl="0" w:tplc="6B368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C49E9"/>
    <w:rsid w:val="001225BA"/>
    <w:rsid w:val="0012539A"/>
    <w:rsid w:val="00136594"/>
    <w:rsid w:val="00180E6A"/>
    <w:rsid w:val="00265F10"/>
    <w:rsid w:val="002E5785"/>
    <w:rsid w:val="00323070"/>
    <w:rsid w:val="003A5503"/>
    <w:rsid w:val="003D4FE9"/>
    <w:rsid w:val="00414556"/>
    <w:rsid w:val="00431146"/>
    <w:rsid w:val="00434B79"/>
    <w:rsid w:val="0043557B"/>
    <w:rsid w:val="00484095"/>
    <w:rsid w:val="004A4ECA"/>
    <w:rsid w:val="004E0B14"/>
    <w:rsid w:val="005429C1"/>
    <w:rsid w:val="005E0C83"/>
    <w:rsid w:val="00684125"/>
    <w:rsid w:val="007262D5"/>
    <w:rsid w:val="00771292"/>
    <w:rsid w:val="00771761"/>
    <w:rsid w:val="007944A3"/>
    <w:rsid w:val="007A6E9A"/>
    <w:rsid w:val="00800D8C"/>
    <w:rsid w:val="00814228"/>
    <w:rsid w:val="00850D82"/>
    <w:rsid w:val="009668C3"/>
    <w:rsid w:val="009B7AD3"/>
    <w:rsid w:val="009D4E88"/>
    <w:rsid w:val="009E3B1B"/>
    <w:rsid w:val="00AB0B25"/>
    <w:rsid w:val="00AE57B3"/>
    <w:rsid w:val="00B67512"/>
    <w:rsid w:val="00BB464F"/>
    <w:rsid w:val="00C939EE"/>
    <w:rsid w:val="00C96A04"/>
    <w:rsid w:val="00CA1AC2"/>
    <w:rsid w:val="00D66C12"/>
    <w:rsid w:val="00D735A2"/>
    <w:rsid w:val="00E24BAD"/>
    <w:rsid w:val="00E40D08"/>
    <w:rsid w:val="00E41F94"/>
    <w:rsid w:val="00E87749"/>
    <w:rsid w:val="00EC49E9"/>
    <w:rsid w:val="00FC517E"/>
    <w:rsid w:val="00F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itre">
    <w:name w:val="stitre"/>
    <w:basedOn w:val="Policepardfaut"/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</w:style>
  <w:style w:type="character" w:styleId="lev">
    <w:name w:val="Strong"/>
    <w:qFormat/>
    <w:rPr>
      <w:b/>
      <w:bCs/>
    </w:rPr>
  </w:style>
  <w:style w:type="paragraph" w:customStyle="1" w:styleId="Grillemoyenne21">
    <w:name w:val="Grille moyenne 21"/>
    <w:qFormat/>
    <w:rPr>
      <w:sz w:val="24"/>
      <w:szCs w:val="24"/>
    </w:rPr>
  </w:style>
  <w:style w:type="table" w:styleId="Grilledutableau">
    <w:name w:val="Table Grid"/>
    <w:basedOn w:val="TableauNormal"/>
    <w:uiPriority w:val="59"/>
    <w:rsid w:val="003A5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25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1182A-C995-44D7-8E47-ACEB364A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Épreuve orale de contrôle</vt:lpstr>
    </vt:vector>
  </TitlesOfParts>
  <Company>Hewlett-Packard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Épreuve orale de contrôle</dc:title>
  <dc:creator>vdarcy</dc:creator>
  <cp:lastModifiedBy>pela</cp:lastModifiedBy>
  <cp:revision>4</cp:revision>
  <dcterms:created xsi:type="dcterms:W3CDTF">2014-06-21T06:36:00Z</dcterms:created>
  <dcterms:modified xsi:type="dcterms:W3CDTF">2014-06-21T12:01:00Z</dcterms:modified>
</cp:coreProperties>
</file>