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7F6" w:rsidRDefault="008A67F6" w:rsidP="008A67F6">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Style w:val="stitre"/>
          <w:rFonts w:ascii="Arial" w:hAnsi="Arial" w:cs="Arial"/>
          <w:b/>
          <w:bCs/>
          <w:sz w:val="28"/>
          <w:szCs w:val="28"/>
        </w:rPr>
        <w:t xml:space="preserve">Épreuve orale de contrôle en SVT non </w:t>
      </w:r>
      <w:r w:rsidRPr="001A5F8E">
        <w:rPr>
          <w:rStyle w:val="stitre"/>
          <w:rFonts w:ascii="Arial" w:hAnsi="Arial" w:cs="Arial"/>
          <w:b/>
          <w:bCs/>
          <w:sz w:val="28"/>
          <w:szCs w:val="28"/>
        </w:rPr>
        <w:t>spécialité</w:t>
      </w:r>
      <w:r w:rsidRPr="007A6E9A">
        <w:rPr>
          <w:rStyle w:val="stitre"/>
          <w:b/>
          <w:bCs/>
          <w:color w:val="FF0000"/>
        </w:rPr>
        <w:br/>
      </w:r>
      <w:r w:rsidR="00C404E8">
        <w:rPr>
          <w:rStyle w:val="stitre"/>
          <w:rFonts w:ascii="Arial" w:hAnsi="Arial" w:cs="Arial"/>
          <w:b/>
          <w:bCs/>
          <w:sz w:val="28"/>
          <w:szCs w:val="28"/>
        </w:rPr>
        <w:t>Sujet N°40</w:t>
      </w:r>
      <w:r>
        <w:rPr>
          <w:rStyle w:val="stitre"/>
          <w:rFonts w:ascii="Arial" w:hAnsi="Arial" w:cs="Arial"/>
          <w:b/>
          <w:bCs/>
          <w:sz w:val="32"/>
        </w:rPr>
        <w:t xml:space="preserve">                </w:t>
      </w:r>
      <w:r>
        <w:rPr>
          <w:rFonts w:ascii="Arial" w:hAnsi="Arial" w:cs="Arial"/>
          <w:sz w:val="32"/>
        </w:rPr>
        <w:br/>
      </w:r>
      <w:r>
        <w:rPr>
          <w:rFonts w:ascii="Arial" w:hAnsi="Arial" w:cs="Arial"/>
          <w:sz w:val="28"/>
          <w:szCs w:val="28"/>
        </w:rPr>
        <w:t>Temps de préparation : 20 minutes</w:t>
      </w:r>
    </w:p>
    <w:p w:rsidR="008A67F6" w:rsidRDefault="008A67F6" w:rsidP="008A67F6">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Durée de présentation orale : 20 minutes</w:t>
      </w:r>
    </w:p>
    <w:p w:rsidR="008A67F6" w:rsidRDefault="008A67F6" w:rsidP="008A67F6">
      <w:pPr>
        <w:jc w:val="both"/>
        <w:rPr>
          <w:rFonts w:ascii="Arial" w:hAnsi="Arial" w:cs="Arial"/>
        </w:rPr>
      </w:pPr>
      <w:r>
        <w:rPr>
          <w:rFonts w:ascii="Arial" w:hAnsi="Arial" w:cs="Arial"/>
          <w:sz w:val="32"/>
        </w:rPr>
        <w:br/>
      </w:r>
      <w:r w:rsidR="004E26F4">
        <w:rPr>
          <w:rFonts w:ascii="Arial" w:hAnsi="Arial" w:cs="Arial"/>
        </w:rPr>
        <w:t xml:space="preserve">Le candidat </w:t>
      </w:r>
      <w:r>
        <w:rPr>
          <w:rFonts w:ascii="Arial" w:hAnsi="Arial" w:cs="Arial"/>
        </w:rPr>
        <w:t xml:space="preserve">traitera les </w:t>
      </w:r>
      <w:r>
        <w:rPr>
          <w:rFonts w:ascii="Arial" w:hAnsi="Arial" w:cs="Arial"/>
          <w:b/>
        </w:rPr>
        <w:t>deux questions.</w:t>
      </w:r>
      <w:r>
        <w:rPr>
          <w:rFonts w:ascii="Arial" w:hAnsi="Arial" w:cs="Arial"/>
        </w:rPr>
        <w:t xml:space="preserve"> Il est possible d’utiliser des feuilles de brouillon durant la préparation, mais la présentation se fera </w:t>
      </w:r>
      <w:r>
        <w:rPr>
          <w:rFonts w:ascii="Arial" w:hAnsi="Arial" w:cs="Arial"/>
          <w:b/>
        </w:rPr>
        <w:t>oralement</w:t>
      </w:r>
      <w:r>
        <w:rPr>
          <w:rFonts w:ascii="Arial" w:hAnsi="Arial" w:cs="Arial"/>
        </w:rPr>
        <w:t>.</w:t>
      </w:r>
    </w:p>
    <w:p w:rsidR="008A67F6" w:rsidRDefault="008A67F6" w:rsidP="008A67F6">
      <w:pPr>
        <w:jc w:val="both"/>
        <w:rPr>
          <w:rFonts w:ascii="Arial" w:hAnsi="Arial" w:cs="Arial"/>
        </w:rPr>
      </w:pPr>
      <w:r>
        <w:rPr>
          <w:rFonts w:ascii="Arial" w:hAnsi="Arial" w:cs="Arial"/>
        </w:rPr>
        <w:t>L’examinateur posera des questions complémentaires durant les échanges.</w:t>
      </w:r>
    </w:p>
    <w:p w:rsidR="008A67F6" w:rsidRDefault="008A67F6" w:rsidP="008A67F6">
      <w:pPr>
        <w:jc w:val="both"/>
        <w:rPr>
          <w:rFonts w:ascii="Arial" w:hAnsi="Arial" w:cs="Arial"/>
          <w:color w:val="0000FF"/>
        </w:rPr>
      </w:pPr>
      <w:r>
        <w:rPr>
          <w:rFonts w:ascii="Arial" w:hAnsi="Arial" w:cs="Arial"/>
        </w:rPr>
        <w:t xml:space="preserve">La note sur </w:t>
      </w:r>
      <w:r>
        <w:rPr>
          <w:rFonts w:ascii="Arial" w:hAnsi="Arial" w:cs="Arial"/>
          <w:b/>
        </w:rPr>
        <w:t>20 points</w:t>
      </w:r>
      <w:r w:rsidR="006273F3">
        <w:rPr>
          <w:rFonts w:ascii="Arial" w:hAnsi="Arial" w:cs="Arial"/>
        </w:rPr>
        <w:t xml:space="preserve"> prendra en compte pour moitié </w:t>
      </w:r>
      <w:r>
        <w:rPr>
          <w:rFonts w:ascii="Arial" w:hAnsi="Arial" w:cs="Arial"/>
        </w:rPr>
        <w:t xml:space="preserve">les </w:t>
      </w:r>
      <w:r>
        <w:rPr>
          <w:rFonts w:ascii="Arial" w:hAnsi="Arial" w:cs="Arial"/>
          <w:b/>
        </w:rPr>
        <w:t>connaissances</w:t>
      </w:r>
      <w:r>
        <w:rPr>
          <w:rFonts w:ascii="Arial" w:hAnsi="Arial" w:cs="Arial"/>
        </w:rPr>
        <w:t xml:space="preserve"> et pour moitié le </w:t>
      </w:r>
      <w:r>
        <w:rPr>
          <w:rFonts w:ascii="Arial" w:hAnsi="Arial" w:cs="Arial"/>
          <w:b/>
        </w:rPr>
        <w:t>raisonnement</w:t>
      </w:r>
      <w:r>
        <w:rPr>
          <w:rFonts w:ascii="Arial" w:hAnsi="Arial" w:cs="Arial"/>
        </w:rPr>
        <w:t xml:space="preserve"> à partir de </w:t>
      </w:r>
      <w:r>
        <w:rPr>
          <w:rFonts w:ascii="Arial" w:hAnsi="Arial" w:cs="Arial"/>
          <w:b/>
        </w:rPr>
        <w:t>l’exploitation des documents</w:t>
      </w:r>
      <w:r>
        <w:rPr>
          <w:rFonts w:ascii="Arial" w:hAnsi="Arial" w:cs="Arial"/>
        </w:rPr>
        <w:t xml:space="preserve">. </w:t>
      </w:r>
    </w:p>
    <w:p w:rsidR="008A67F6" w:rsidRDefault="008A67F6" w:rsidP="008A67F6">
      <w:pPr>
        <w:jc w:val="both"/>
        <w:rPr>
          <w:rFonts w:ascii="Arial" w:hAnsi="Arial" w:cs="Arial"/>
        </w:rPr>
      </w:pPr>
    </w:p>
    <w:p w:rsidR="00AA1215" w:rsidRPr="00F512B7" w:rsidRDefault="00AA1215" w:rsidP="00AA1215">
      <w:pPr>
        <w:spacing w:line="276" w:lineRule="auto"/>
        <w:rPr>
          <w:rFonts w:ascii="Arial" w:hAnsi="Arial" w:cs="Arial"/>
          <w:b/>
          <w:bCs/>
          <w:sz w:val="28"/>
          <w:szCs w:val="22"/>
          <w:u w:val="single"/>
          <w:lang w:eastAsia="en-US"/>
        </w:rPr>
      </w:pPr>
      <w:r w:rsidRPr="00F512B7">
        <w:rPr>
          <w:rFonts w:ascii="Arial" w:hAnsi="Arial" w:cs="Arial"/>
          <w:b/>
          <w:bCs/>
          <w:sz w:val="28"/>
          <w:szCs w:val="22"/>
          <w:u w:val="single"/>
          <w:lang w:eastAsia="en-US"/>
        </w:rPr>
        <w:t>Question 1 :</w:t>
      </w:r>
    </w:p>
    <w:p w:rsidR="00C404E8" w:rsidRPr="00D41E3D" w:rsidRDefault="00C404E8" w:rsidP="00D41E3D">
      <w:pPr>
        <w:spacing w:after="160" w:line="259" w:lineRule="auto"/>
        <w:jc w:val="both"/>
        <w:rPr>
          <w:rFonts w:ascii="Arial" w:eastAsiaTheme="minorHAnsi" w:hAnsi="Arial" w:cs="Arial"/>
          <w:lang w:eastAsia="en-US"/>
        </w:rPr>
      </w:pPr>
      <w:r w:rsidRPr="00D41E3D">
        <w:rPr>
          <w:rFonts w:ascii="Arial" w:eastAsiaTheme="minorHAnsi" w:hAnsi="Arial" w:cs="Arial"/>
          <w:lang w:eastAsia="en-US"/>
        </w:rPr>
        <w:t>Les zones de subduction sont le siège d’un magmatisme. On s’intéresse à l’origine de ce magma.</w:t>
      </w:r>
    </w:p>
    <w:p w:rsidR="00C404E8" w:rsidRPr="006273F3" w:rsidRDefault="00C404E8" w:rsidP="00D76D08">
      <w:pPr>
        <w:spacing w:line="259" w:lineRule="auto"/>
        <w:jc w:val="both"/>
        <w:rPr>
          <w:rFonts w:ascii="Arial" w:eastAsiaTheme="minorHAnsi" w:hAnsi="Arial" w:cs="Arial"/>
          <w:szCs w:val="22"/>
          <w:u w:val="single"/>
          <w:lang w:eastAsia="en-US"/>
        </w:rPr>
      </w:pPr>
      <w:r w:rsidRPr="006273F3">
        <w:rPr>
          <w:rFonts w:ascii="Arial" w:eastAsiaTheme="minorHAnsi" w:hAnsi="Arial" w:cs="Arial"/>
          <w:szCs w:val="22"/>
          <w:u w:val="single"/>
          <w:lang w:eastAsia="en-US"/>
        </w:rPr>
        <w:t>Doc</w:t>
      </w:r>
      <w:r w:rsidR="00D41E3D" w:rsidRPr="006273F3">
        <w:rPr>
          <w:rFonts w:ascii="Arial" w:eastAsiaTheme="minorHAnsi" w:hAnsi="Arial" w:cs="Arial"/>
          <w:szCs w:val="22"/>
          <w:u w:val="single"/>
          <w:lang w:eastAsia="en-US"/>
        </w:rPr>
        <w:t xml:space="preserve">ument </w:t>
      </w:r>
      <w:r w:rsidRPr="006273F3">
        <w:rPr>
          <w:rFonts w:ascii="Arial" w:eastAsiaTheme="minorHAnsi" w:hAnsi="Arial" w:cs="Arial"/>
          <w:szCs w:val="22"/>
          <w:u w:val="single"/>
          <w:lang w:eastAsia="en-US"/>
        </w:rPr>
        <w:t>1</w:t>
      </w:r>
      <w:r w:rsidR="00D41E3D" w:rsidRPr="006273F3">
        <w:rPr>
          <w:rFonts w:ascii="Arial" w:eastAsiaTheme="minorHAnsi" w:hAnsi="Arial" w:cs="Arial"/>
          <w:szCs w:val="22"/>
          <w:lang w:eastAsia="en-US"/>
        </w:rPr>
        <w:t> : I</w:t>
      </w:r>
      <w:r w:rsidRPr="006273F3">
        <w:rPr>
          <w:rFonts w:ascii="Arial" w:eastAsiaTheme="minorHAnsi" w:hAnsi="Arial" w:cs="Arial"/>
          <w:szCs w:val="22"/>
          <w:lang w:eastAsia="en-US"/>
        </w:rPr>
        <w:t>sothermes dans une zone de subduction</w:t>
      </w:r>
    </w:p>
    <w:p w:rsidR="00C404E8" w:rsidRDefault="00D76D08" w:rsidP="00D76D08">
      <w:pPr>
        <w:spacing w:after="120" w:line="259" w:lineRule="auto"/>
        <w:jc w:val="center"/>
        <w:rPr>
          <w:rFonts w:asciiTheme="minorHAnsi" w:eastAsiaTheme="minorHAnsi" w:hAnsiTheme="minorHAnsi" w:cstheme="minorBidi"/>
          <w:sz w:val="22"/>
          <w:szCs w:val="22"/>
          <w:lang w:eastAsia="en-US"/>
        </w:rPr>
      </w:pPr>
      <w:r w:rsidRPr="00D76D08">
        <w:rPr>
          <w:rFonts w:eastAsiaTheme="minorHAnsi"/>
          <w:noProof/>
        </w:rPr>
        <w:drawing>
          <wp:inline distT="0" distB="0" distL="0" distR="0">
            <wp:extent cx="4679227" cy="3162300"/>
            <wp:effectExtent l="19050" t="0" r="707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79227" cy="3162300"/>
                    </a:xfrm>
                    <a:prstGeom prst="rect">
                      <a:avLst/>
                    </a:prstGeom>
                    <a:noFill/>
                    <a:ln w="9525">
                      <a:noFill/>
                      <a:miter lim="800000"/>
                      <a:headEnd/>
                      <a:tailEnd/>
                    </a:ln>
                  </pic:spPr>
                </pic:pic>
              </a:graphicData>
            </a:graphic>
          </wp:inline>
        </w:drawing>
      </w:r>
    </w:p>
    <w:p w:rsidR="00C404E8" w:rsidRPr="006273F3" w:rsidRDefault="00C404E8" w:rsidP="006273F3">
      <w:pPr>
        <w:spacing w:after="160" w:line="259" w:lineRule="auto"/>
        <w:jc w:val="both"/>
        <w:rPr>
          <w:rFonts w:ascii="Arial" w:eastAsiaTheme="minorHAnsi" w:hAnsi="Arial" w:cs="Arial"/>
          <w:szCs w:val="22"/>
          <w:u w:val="single"/>
          <w:lang w:eastAsia="en-US"/>
        </w:rPr>
      </w:pPr>
      <w:r w:rsidRPr="006273F3">
        <w:rPr>
          <w:rFonts w:ascii="Arial" w:eastAsiaTheme="minorHAnsi" w:hAnsi="Arial" w:cs="Arial"/>
          <w:szCs w:val="22"/>
          <w:u w:val="single"/>
          <w:lang w:eastAsia="en-US"/>
        </w:rPr>
        <w:t>Doc</w:t>
      </w:r>
      <w:r w:rsidR="00D41E3D" w:rsidRPr="006273F3">
        <w:rPr>
          <w:rFonts w:ascii="Arial" w:eastAsiaTheme="minorHAnsi" w:hAnsi="Arial" w:cs="Arial"/>
          <w:szCs w:val="22"/>
          <w:u w:val="single"/>
          <w:lang w:eastAsia="en-US"/>
        </w:rPr>
        <w:t>ument</w:t>
      </w:r>
      <w:r w:rsidRPr="006273F3">
        <w:rPr>
          <w:rFonts w:ascii="Arial" w:eastAsiaTheme="minorHAnsi" w:hAnsi="Arial" w:cs="Arial"/>
          <w:szCs w:val="22"/>
          <w:u w:val="single"/>
          <w:lang w:eastAsia="en-US"/>
        </w:rPr>
        <w:t xml:space="preserve"> 2</w:t>
      </w:r>
      <w:r w:rsidRPr="006273F3">
        <w:rPr>
          <w:rFonts w:ascii="Arial" w:eastAsiaTheme="minorHAnsi" w:hAnsi="Arial" w:cs="Arial"/>
          <w:szCs w:val="22"/>
          <w:lang w:eastAsia="en-US"/>
        </w:rPr>
        <w:t xml:space="preserve"> : Conditions de fusion de la péridotite du manteau et du basalte de </w:t>
      </w:r>
      <w:r w:rsidR="006273F3">
        <w:rPr>
          <w:rFonts w:ascii="Arial" w:eastAsiaTheme="minorHAnsi" w:hAnsi="Arial" w:cs="Arial"/>
          <w:szCs w:val="22"/>
          <w:lang w:eastAsia="en-US"/>
        </w:rPr>
        <w:t>la croû</w:t>
      </w:r>
      <w:r w:rsidRPr="006273F3">
        <w:rPr>
          <w:rFonts w:ascii="Arial" w:eastAsiaTheme="minorHAnsi" w:hAnsi="Arial" w:cs="Arial"/>
          <w:szCs w:val="22"/>
          <w:lang w:eastAsia="en-US"/>
        </w:rPr>
        <w:t>te océanique</w:t>
      </w:r>
    </w:p>
    <w:p w:rsidR="00C404E8" w:rsidRPr="005F400C" w:rsidRDefault="006273F3" w:rsidP="006273F3">
      <w:pPr>
        <w:spacing w:after="160" w:line="259" w:lineRule="auto"/>
        <w:jc w:val="center"/>
        <w:rPr>
          <w:rFonts w:asciiTheme="minorHAnsi" w:eastAsiaTheme="minorHAnsi" w:hAnsiTheme="minorHAnsi" w:cstheme="minorBidi"/>
          <w:sz w:val="22"/>
          <w:szCs w:val="22"/>
          <w:lang w:eastAsia="en-US"/>
        </w:rPr>
      </w:pPr>
      <w:r w:rsidRPr="006273F3">
        <w:rPr>
          <w:rFonts w:eastAsiaTheme="minorHAnsi"/>
          <w:noProof/>
        </w:rPr>
        <w:drawing>
          <wp:inline distT="0" distB="0" distL="0" distR="0">
            <wp:extent cx="6522683" cy="2676525"/>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6529722" cy="2679413"/>
                    </a:xfrm>
                    <a:prstGeom prst="rect">
                      <a:avLst/>
                    </a:prstGeom>
                    <a:noFill/>
                    <a:ln w="9525">
                      <a:noFill/>
                      <a:miter lim="800000"/>
                      <a:headEnd/>
                      <a:tailEnd/>
                    </a:ln>
                  </pic:spPr>
                </pic:pic>
              </a:graphicData>
            </a:graphic>
          </wp:inline>
        </w:drawing>
      </w:r>
    </w:p>
    <w:p w:rsidR="00C404E8" w:rsidRDefault="00C404E8" w:rsidP="006273F3">
      <w:pPr>
        <w:jc w:val="both"/>
        <w:rPr>
          <w:rFonts w:ascii="Arial" w:hAnsi="Arial" w:cs="Arial"/>
          <w:b/>
        </w:rPr>
      </w:pPr>
      <w:r w:rsidRPr="005F400C">
        <w:rPr>
          <w:rFonts w:ascii="Arial" w:hAnsi="Arial" w:cs="Arial"/>
          <w:b/>
        </w:rPr>
        <w:t>En vous appuyant sur une analyse rigoureuse des deux documents, déterminez l’origine du magma dans une zone de subduction</w:t>
      </w:r>
      <w:r>
        <w:rPr>
          <w:rFonts w:ascii="Arial" w:hAnsi="Arial" w:cs="Arial"/>
          <w:b/>
        </w:rPr>
        <w:t xml:space="preserve">. </w:t>
      </w:r>
    </w:p>
    <w:p w:rsidR="00F512B7" w:rsidRDefault="00F512B7" w:rsidP="00F512B7">
      <w:pPr>
        <w:spacing w:line="276" w:lineRule="auto"/>
        <w:rPr>
          <w:rFonts w:ascii="Arial" w:hAnsi="Arial" w:cs="Arial"/>
          <w:b/>
          <w:bCs/>
          <w:sz w:val="28"/>
          <w:szCs w:val="22"/>
          <w:u w:val="single"/>
          <w:lang w:eastAsia="en-US"/>
        </w:rPr>
      </w:pPr>
      <w:r>
        <w:rPr>
          <w:rFonts w:ascii="Arial" w:hAnsi="Arial" w:cs="Arial"/>
          <w:b/>
          <w:bCs/>
          <w:sz w:val="28"/>
          <w:szCs w:val="22"/>
          <w:u w:val="single"/>
          <w:lang w:eastAsia="en-US"/>
        </w:rPr>
        <w:lastRenderedPageBreak/>
        <w:t>Question 2</w:t>
      </w:r>
      <w:r w:rsidRPr="00F512B7">
        <w:rPr>
          <w:rFonts w:ascii="Arial" w:hAnsi="Arial" w:cs="Arial"/>
          <w:b/>
          <w:bCs/>
          <w:sz w:val="28"/>
          <w:szCs w:val="22"/>
          <w:u w:val="single"/>
          <w:lang w:eastAsia="en-US"/>
        </w:rPr>
        <w:t> :</w:t>
      </w:r>
    </w:p>
    <w:p w:rsidR="00F512B7" w:rsidRPr="00F512B7" w:rsidRDefault="00F512B7" w:rsidP="00F512B7">
      <w:pPr>
        <w:spacing w:line="276" w:lineRule="auto"/>
        <w:rPr>
          <w:rFonts w:ascii="Arial" w:hAnsi="Arial" w:cs="Arial"/>
          <w:b/>
          <w:bCs/>
          <w:sz w:val="14"/>
          <w:szCs w:val="22"/>
          <w:u w:val="single"/>
          <w:lang w:eastAsia="en-US"/>
        </w:rPr>
      </w:pPr>
    </w:p>
    <w:p w:rsidR="000311B1" w:rsidRPr="009C7029" w:rsidRDefault="000311B1" w:rsidP="00F512B7">
      <w:pPr>
        <w:jc w:val="both"/>
        <w:rPr>
          <w:rFonts w:ascii="Arial" w:hAnsi="Arial" w:cs="Arial"/>
        </w:rPr>
      </w:pPr>
      <w:r w:rsidRPr="009C7029">
        <w:rPr>
          <w:rFonts w:ascii="Arial" w:hAnsi="Arial" w:cs="Arial"/>
        </w:rPr>
        <w:t xml:space="preserve">Suite à la fonte de la calotte glaciaire qui </w:t>
      </w:r>
      <w:r w:rsidR="00F512B7">
        <w:rPr>
          <w:rFonts w:ascii="Arial" w:hAnsi="Arial" w:cs="Arial"/>
        </w:rPr>
        <w:t xml:space="preserve">recouvrait l’Amérique du nord, </w:t>
      </w:r>
      <w:r w:rsidRPr="009C7029">
        <w:rPr>
          <w:rFonts w:ascii="Arial" w:hAnsi="Arial" w:cs="Arial"/>
        </w:rPr>
        <w:t xml:space="preserve">des lacs se sont mis en place et ont été peuplés par des épinoches marines issues des régions côtières. Aujourd’hui, on constate de nettes différences morphologiques entre ces épinoches marines et les épinoches lacustres </w:t>
      </w:r>
      <w:r>
        <w:rPr>
          <w:rFonts w:ascii="Arial" w:hAnsi="Arial" w:cs="Arial"/>
        </w:rPr>
        <w:t>(vivant dans d</w:t>
      </w:r>
      <w:r w:rsidRPr="009C7029">
        <w:rPr>
          <w:rFonts w:ascii="Arial" w:hAnsi="Arial" w:cs="Arial"/>
        </w:rPr>
        <w:t>es lacs</w:t>
      </w:r>
      <w:r>
        <w:rPr>
          <w:rFonts w:ascii="Arial" w:hAnsi="Arial" w:cs="Arial"/>
        </w:rPr>
        <w:t>)</w:t>
      </w:r>
      <w:r w:rsidRPr="009C7029">
        <w:rPr>
          <w:rFonts w:ascii="Arial" w:hAnsi="Arial" w:cs="Arial"/>
        </w:rPr>
        <w:t>.</w:t>
      </w:r>
    </w:p>
    <w:p w:rsidR="000311B1" w:rsidRPr="009C7029" w:rsidRDefault="000311B1" w:rsidP="00F512B7">
      <w:pPr>
        <w:jc w:val="both"/>
        <w:rPr>
          <w:rFonts w:ascii="Arial" w:hAnsi="Arial" w:cs="Arial"/>
        </w:rPr>
      </w:pPr>
      <w:r w:rsidRPr="009C7029">
        <w:rPr>
          <w:rFonts w:ascii="Arial" w:hAnsi="Arial" w:cs="Arial"/>
        </w:rPr>
        <w:t>Les épinoches marines ont une armure de plaques osseuses sur leurs flancs alors que les épinoches lacustres en sont dépourvues ; en outre</w:t>
      </w:r>
      <w:r w:rsidR="00D41E3D">
        <w:rPr>
          <w:rFonts w:ascii="Arial" w:hAnsi="Arial" w:cs="Arial"/>
        </w:rPr>
        <w:t>,</w:t>
      </w:r>
      <w:r w:rsidRPr="009C7029">
        <w:rPr>
          <w:rFonts w:ascii="Arial" w:hAnsi="Arial" w:cs="Arial"/>
        </w:rPr>
        <w:t xml:space="preserve"> les épinoches marines ont deux nageoires pelviennes épineuses bien développées alors que les lacustres ont des nageoires très réduites sans épine.</w:t>
      </w:r>
    </w:p>
    <w:p w:rsidR="00F512B7" w:rsidRDefault="00F512B7" w:rsidP="00C404E8">
      <w:pPr>
        <w:rPr>
          <w:rFonts w:ascii="Arial" w:hAnsi="Arial" w:cs="Arial"/>
        </w:rPr>
      </w:pPr>
      <w:r w:rsidRPr="00F512B7">
        <w:rPr>
          <w:noProof/>
        </w:rPr>
        <w:drawing>
          <wp:inline distT="0" distB="0" distL="0" distR="0">
            <wp:extent cx="6645910" cy="1390216"/>
            <wp:effectExtent l="19050" t="0" r="254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645910" cy="1390216"/>
                    </a:xfrm>
                    <a:prstGeom prst="rect">
                      <a:avLst/>
                    </a:prstGeom>
                    <a:noFill/>
                    <a:ln w="9525">
                      <a:noFill/>
                      <a:miter lim="800000"/>
                      <a:headEnd/>
                      <a:tailEnd/>
                    </a:ln>
                  </pic:spPr>
                </pic:pic>
              </a:graphicData>
            </a:graphic>
          </wp:inline>
        </w:drawing>
      </w:r>
    </w:p>
    <w:p w:rsidR="00F512B7" w:rsidRPr="005F400C" w:rsidRDefault="00F512B7" w:rsidP="00C404E8">
      <w:pPr>
        <w:rPr>
          <w:rFonts w:ascii="Arial" w:hAnsi="Arial" w:cs="Arial"/>
        </w:rPr>
      </w:pPr>
    </w:p>
    <w:p w:rsidR="000644A0" w:rsidRPr="00F512B7" w:rsidRDefault="000644A0" w:rsidP="00F512B7">
      <w:pPr>
        <w:jc w:val="both"/>
        <w:rPr>
          <w:rFonts w:ascii="Arial" w:hAnsi="Arial" w:cs="Arial"/>
          <w:i/>
          <w:szCs w:val="22"/>
        </w:rPr>
      </w:pPr>
      <w:r w:rsidRPr="00F512B7">
        <w:rPr>
          <w:rFonts w:ascii="Arial" w:hAnsi="Arial" w:cs="Arial"/>
          <w:szCs w:val="22"/>
        </w:rPr>
        <w:t>Les chercheurs ont croisé des épinoches marines et lacustres, de lignées pures. Ils ont obtenu une descendance F1. Le croisement et le résultat sont donnés dans le document 1a. Ils ont ensuite croisé ces descendants F1 avec une population « double mutant récessif ». Les résultats sont donnés dans le document</w:t>
      </w:r>
      <w:r w:rsidR="00F512B7">
        <w:rPr>
          <w:rFonts w:ascii="Arial" w:hAnsi="Arial" w:cs="Arial"/>
          <w:szCs w:val="22"/>
        </w:rPr>
        <w:t xml:space="preserve"> </w:t>
      </w:r>
      <w:r w:rsidRPr="00F512B7">
        <w:rPr>
          <w:rFonts w:ascii="Arial" w:hAnsi="Arial" w:cs="Arial"/>
          <w:szCs w:val="22"/>
        </w:rPr>
        <w:t>1b</w:t>
      </w:r>
      <w:r w:rsidRPr="00F512B7">
        <w:rPr>
          <w:rFonts w:ascii="Arial" w:hAnsi="Arial" w:cs="Arial"/>
          <w:i/>
          <w:szCs w:val="22"/>
        </w:rPr>
        <w:t>.</w:t>
      </w:r>
    </w:p>
    <w:p w:rsidR="000644A0" w:rsidRPr="000644A0" w:rsidRDefault="000644A0" w:rsidP="000644A0">
      <w:pPr>
        <w:jc w:val="center"/>
        <w:rPr>
          <w:rFonts w:ascii="Arial" w:eastAsiaTheme="minorHAnsi" w:hAnsi="Arial" w:cs="Arial"/>
          <w:b/>
          <w:sz w:val="20"/>
          <w:szCs w:val="20"/>
          <w:lang w:eastAsia="en-US"/>
        </w:rPr>
      </w:pPr>
    </w:p>
    <w:p w:rsidR="000644A0" w:rsidRPr="00AA391D" w:rsidRDefault="000644A0" w:rsidP="000644A0">
      <w:pPr>
        <w:jc w:val="center"/>
        <w:rPr>
          <w:rFonts w:ascii="Arial" w:hAnsi="Arial" w:cs="Arial"/>
          <w:sz w:val="28"/>
          <w:szCs w:val="22"/>
        </w:rPr>
      </w:pPr>
      <w:r w:rsidRPr="00AA391D">
        <w:rPr>
          <w:rFonts w:ascii="Arial" w:eastAsiaTheme="minorHAnsi" w:hAnsi="Arial" w:cs="Arial"/>
          <w:szCs w:val="20"/>
          <w:u w:val="single"/>
          <w:lang w:eastAsia="en-US"/>
        </w:rPr>
        <w:t>Document 1a</w:t>
      </w:r>
      <w:r w:rsidRPr="00AA391D">
        <w:rPr>
          <w:rFonts w:ascii="Arial" w:eastAsiaTheme="minorHAnsi" w:hAnsi="Arial" w:cs="Arial"/>
          <w:szCs w:val="20"/>
          <w:lang w:eastAsia="en-US"/>
        </w:rPr>
        <w:t> : Premier croisement</w:t>
      </w:r>
    </w:p>
    <w:p w:rsidR="000644A0" w:rsidRPr="000644A0" w:rsidRDefault="00F512B7" w:rsidP="000644A0">
      <w:pPr>
        <w:rPr>
          <w:sz w:val="20"/>
          <w:szCs w:val="20"/>
        </w:rPr>
      </w:pPr>
      <w:r w:rsidRPr="00F512B7">
        <w:rPr>
          <w:noProof/>
        </w:rPr>
        <w:drawing>
          <wp:inline distT="0" distB="0" distL="0" distR="0">
            <wp:extent cx="6534150" cy="201930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534150" cy="2019300"/>
                    </a:xfrm>
                    <a:prstGeom prst="rect">
                      <a:avLst/>
                    </a:prstGeom>
                    <a:noFill/>
                    <a:ln w="9525">
                      <a:noFill/>
                      <a:miter lim="800000"/>
                      <a:headEnd/>
                      <a:tailEnd/>
                    </a:ln>
                  </pic:spPr>
                </pic:pic>
              </a:graphicData>
            </a:graphic>
          </wp:inline>
        </w:drawing>
      </w:r>
    </w:p>
    <w:p w:rsidR="000644A0" w:rsidRPr="000644A0" w:rsidRDefault="000644A0" w:rsidP="000644A0">
      <w:pPr>
        <w:rPr>
          <w:sz w:val="20"/>
          <w:szCs w:val="20"/>
        </w:rPr>
      </w:pPr>
    </w:p>
    <w:p w:rsidR="000644A0" w:rsidRPr="000644A0" w:rsidRDefault="000644A0" w:rsidP="000644A0">
      <w:pPr>
        <w:rPr>
          <w:sz w:val="20"/>
          <w:szCs w:val="20"/>
        </w:rPr>
      </w:pPr>
    </w:p>
    <w:p w:rsidR="00F512B7" w:rsidRPr="00AA391D" w:rsidRDefault="00F512B7" w:rsidP="00F512B7">
      <w:pPr>
        <w:jc w:val="center"/>
        <w:rPr>
          <w:rFonts w:ascii="Arial" w:hAnsi="Arial" w:cs="Arial"/>
          <w:szCs w:val="20"/>
        </w:rPr>
      </w:pPr>
      <w:r w:rsidRPr="00AA391D">
        <w:rPr>
          <w:rFonts w:ascii="Arial" w:hAnsi="Arial" w:cs="Arial"/>
          <w:szCs w:val="20"/>
          <w:u w:val="single"/>
        </w:rPr>
        <w:t>Document 1b</w:t>
      </w:r>
      <w:r w:rsidRPr="00AA391D">
        <w:rPr>
          <w:rFonts w:ascii="Arial" w:hAnsi="Arial" w:cs="Arial"/>
          <w:szCs w:val="20"/>
        </w:rPr>
        <w:t> : Résultat du deuxième croisement</w:t>
      </w:r>
    </w:p>
    <w:p w:rsidR="000644A0" w:rsidRPr="000644A0" w:rsidRDefault="00F512B7" w:rsidP="000644A0">
      <w:pPr>
        <w:rPr>
          <w:sz w:val="20"/>
          <w:szCs w:val="20"/>
        </w:rPr>
      </w:pPr>
      <w:r w:rsidRPr="00F512B7">
        <w:rPr>
          <w:noProof/>
        </w:rPr>
        <w:drawing>
          <wp:inline distT="0" distB="0" distL="0" distR="0">
            <wp:extent cx="6645910" cy="1925258"/>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45910" cy="1925258"/>
                    </a:xfrm>
                    <a:prstGeom prst="rect">
                      <a:avLst/>
                    </a:prstGeom>
                    <a:noFill/>
                    <a:ln w="9525">
                      <a:noFill/>
                      <a:miter lim="800000"/>
                      <a:headEnd/>
                      <a:tailEnd/>
                    </a:ln>
                  </pic:spPr>
                </pic:pic>
              </a:graphicData>
            </a:graphic>
          </wp:inline>
        </w:drawing>
      </w:r>
    </w:p>
    <w:p w:rsidR="000644A0" w:rsidRDefault="000644A0" w:rsidP="000644A0">
      <w:pPr>
        <w:rPr>
          <w:sz w:val="20"/>
          <w:szCs w:val="20"/>
        </w:rPr>
      </w:pPr>
    </w:p>
    <w:p w:rsidR="006273F3" w:rsidRPr="000644A0" w:rsidRDefault="006273F3" w:rsidP="000644A0">
      <w:pPr>
        <w:rPr>
          <w:sz w:val="20"/>
          <w:szCs w:val="20"/>
        </w:rPr>
      </w:pPr>
    </w:p>
    <w:p w:rsidR="000644A0" w:rsidRPr="00AA1215" w:rsidRDefault="000644A0" w:rsidP="00F512B7">
      <w:pPr>
        <w:spacing w:after="200" w:line="276" w:lineRule="auto"/>
        <w:jc w:val="both"/>
        <w:rPr>
          <w:rFonts w:ascii="Arial" w:hAnsi="Arial" w:cs="Arial"/>
          <w:b/>
          <w:bCs/>
          <w:szCs w:val="22"/>
          <w:u w:val="single"/>
          <w:lang w:eastAsia="en-US"/>
        </w:rPr>
      </w:pPr>
      <w:r w:rsidRPr="000644A0">
        <w:rPr>
          <w:rFonts w:ascii="Arial" w:eastAsiaTheme="minorHAnsi" w:hAnsi="Arial" w:cs="Arial"/>
          <w:b/>
          <w:bCs/>
          <w:lang w:eastAsia="en-US"/>
        </w:rPr>
        <w:t>A partir de l’exploitation des doc</w:t>
      </w:r>
      <w:bookmarkStart w:id="0" w:name="_GoBack"/>
      <w:bookmarkEnd w:id="0"/>
      <w:r w:rsidRPr="000644A0">
        <w:rPr>
          <w:rFonts w:ascii="Arial" w:eastAsiaTheme="minorHAnsi" w:hAnsi="Arial" w:cs="Arial"/>
          <w:b/>
          <w:bCs/>
          <w:lang w:eastAsia="en-US"/>
        </w:rPr>
        <w:t>u</w:t>
      </w:r>
      <w:r w:rsidR="00F512B7">
        <w:rPr>
          <w:rFonts w:ascii="Arial" w:eastAsiaTheme="minorHAnsi" w:hAnsi="Arial" w:cs="Arial"/>
          <w:b/>
          <w:bCs/>
          <w:lang w:eastAsia="en-US"/>
        </w:rPr>
        <w:t>ments et de vos connaissances, montrez</w:t>
      </w:r>
      <w:r w:rsidRPr="000644A0">
        <w:rPr>
          <w:rFonts w:ascii="Arial" w:eastAsiaTheme="minorHAnsi" w:hAnsi="Arial" w:cs="Arial"/>
          <w:b/>
          <w:bCs/>
          <w:lang w:eastAsia="en-US"/>
        </w:rPr>
        <w:t xml:space="preserve"> que les </w:t>
      </w:r>
      <w:r w:rsidR="00F512B7">
        <w:rPr>
          <w:rFonts w:ascii="Arial" w:eastAsiaTheme="minorHAnsi" w:hAnsi="Arial" w:cs="Arial"/>
          <w:b/>
          <w:bCs/>
          <w:lang w:eastAsia="en-US"/>
        </w:rPr>
        <w:t>deux</w:t>
      </w:r>
      <w:r w:rsidRPr="000644A0">
        <w:rPr>
          <w:rFonts w:ascii="Arial" w:eastAsiaTheme="minorHAnsi" w:hAnsi="Arial" w:cs="Arial"/>
          <w:b/>
          <w:bCs/>
          <w:lang w:eastAsia="en-US"/>
        </w:rPr>
        <w:t xml:space="preserve"> caractères qui différencient ces épinoches sont codés par des gènes indépendants. Votre réponse s’appuier</w:t>
      </w:r>
      <w:r w:rsidR="00F512B7">
        <w:rPr>
          <w:rFonts w:ascii="Arial" w:eastAsiaTheme="minorHAnsi" w:hAnsi="Arial" w:cs="Arial"/>
          <w:b/>
          <w:bCs/>
          <w:lang w:eastAsia="en-US"/>
        </w:rPr>
        <w:t>a sur des schémas de la méiose.</w:t>
      </w:r>
    </w:p>
    <w:sectPr w:rsidR="000644A0" w:rsidRPr="00AA1215" w:rsidSect="008A67F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81E50"/>
    <w:multiLevelType w:val="hybridMultilevel"/>
    <w:tmpl w:val="41D862F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91196C"/>
    <w:multiLevelType w:val="hybridMultilevel"/>
    <w:tmpl w:val="07189EC6"/>
    <w:lvl w:ilvl="0" w:tplc="33EAE6B4">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8A67F6"/>
    <w:rsid w:val="000311B1"/>
    <w:rsid w:val="00045EF1"/>
    <w:rsid w:val="000644A0"/>
    <w:rsid w:val="00204EF1"/>
    <w:rsid w:val="004728B1"/>
    <w:rsid w:val="004C2331"/>
    <w:rsid w:val="004E26F4"/>
    <w:rsid w:val="006273F3"/>
    <w:rsid w:val="007A1458"/>
    <w:rsid w:val="008A67F6"/>
    <w:rsid w:val="00AA1215"/>
    <w:rsid w:val="00AA391D"/>
    <w:rsid w:val="00C404E8"/>
    <w:rsid w:val="00C67A5A"/>
    <w:rsid w:val="00D41E3D"/>
    <w:rsid w:val="00D76D08"/>
    <w:rsid w:val="00F512B7"/>
    <w:rsid w:val="00F91C7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F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8A67F6"/>
  </w:style>
  <w:style w:type="paragraph" w:styleId="Textedebulles">
    <w:name w:val="Balloon Text"/>
    <w:basedOn w:val="Normal"/>
    <w:link w:val="TextedebullesCar"/>
    <w:uiPriority w:val="99"/>
    <w:semiHidden/>
    <w:unhideWhenUsed/>
    <w:rsid w:val="00AA1215"/>
    <w:rPr>
      <w:rFonts w:ascii="Tahoma" w:hAnsi="Tahoma" w:cs="Tahoma"/>
      <w:sz w:val="16"/>
      <w:szCs w:val="16"/>
    </w:rPr>
  </w:style>
  <w:style w:type="character" w:customStyle="1" w:styleId="TextedebullesCar">
    <w:name w:val="Texte de bulles Car"/>
    <w:basedOn w:val="Policepardfaut"/>
    <w:link w:val="Textedebulles"/>
    <w:uiPriority w:val="99"/>
    <w:semiHidden/>
    <w:rsid w:val="00AA1215"/>
    <w:rPr>
      <w:rFonts w:ascii="Tahoma" w:eastAsia="Times New Roman" w:hAnsi="Tahoma" w:cs="Tahoma"/>
      <w:sz w:val="16"/>
      <w:szCs w:val="16"/>
      <w:lang w:eastAsia="fr-FR"/>
    </w:rPr>
  </w:style>
  <w:style w:type="paragraph" w:styleId="Paragraphedeliste">
    <w:name w:val="List Paragraph"/>
    <w:basedOn w:val="Normal"/>
    <w:uiPriority w:val="34"/>
    <w:qFormat/>
    <w:rsid w:val="004C23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F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8A67F6"/>
  </w:style>
  <w:style w:type="paragraph" w:styleId="Textedebulles">
    <w:name w:val="Balloon Text"/>
    <w:basedOn w:val="Normal"/>
    <w:link w:val="TextedebullesCar"/>
    <w:uiPriority w:val="99"/>
    <w:semiHidden/>
    <w:unhideWhenUsed/>
    <w:rsid w:val="00AA1215"/>
    <w:rPr>
      <w:rFonts w:ascii="Tahoma" w:hAnsi="Tahoma" w:cs="Tahoma"/>
      <w:sz w:val="16"/>
      <w:szCs w:val="16"/>
    </w:rPr>
  </w:style>
  <w:style w:type="character" w:customStyle="1" w:styleId="TextedebullesCar">
    <w:name w:val="Texte de bulles Car"/>
    <w:basedOn w:val="Policepardfaut"/>
    <w:link w:val="Textedebulles"/>
    <w:uiPriority w:val="99"/>
    <w:semiHidden/>
    <w:rsid w:val="00AA1215"/>
    <w:rPr>
      <w:rFonts w:ascii="Tahoma" w:eastAsia="Times New Roman" w:hAnsi="Tahoma" w:cs="Tahoma"/>
      <w:sz w:val="16"/>
      <w:szCs w:val="16"/>
      <w:lang w:eastAsia="fr-FR"/>
    </w:rPr>
  </w:style>
  <w:style w:type="paragraph" w:styleId="Paragraphedeliste">
    <w:name w:val="List Paragraph"/>
    <w:basedOn w:val="Normal"/>
    <w:uiPriority w:val="34"/>
    <w:qFormat/>
    <w:rsid w:val="004C2331"/>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332</Words>
  <Characters>1830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dc:creator>
  <cp:lastModifiedBy>bureau</cp:lastModifiedBy>
  <cp:revision>6</cp:revision>
  <dcterms:created xsi:type="dcterms:W3CDTF">2015-06-15T18:25:00Z</dcterms:created>
  <dcterms:modified xsi:type="dcterms:W3CDTF">2015-06-17T12:39:00Z</dcterms:modified>
</cp:coreProperties>
</file>