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1A" w:rsidRDefault="0095571A" w:rsidP="0095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8"/>
        </w:rPr>
      </w:pPr>
      <w:r>
        <w:rPr>
          <w:rStyle w:val="stitre"/>
          <w:rFonts w:ascii="Arial" w:hAnsi="Arial" w:cs="Arial"/>
          <w:b/>
          <w:bCs/>
          <w:sz w:val="28"/>
        </w:rPr>
        <w:t xml:space="preserve">Épreuve orale de contrôle en SVT  spécialité </w:t>
      </w:r>
      <w:r>
        <w:rPr>
          <w:rFonts w:ascii="Arial" w:hAnsi="Arial" w:cs="Arial"/>
          <w:sz w:val="28"/>
        </w:rPr>
        <w:br/>
      </w:r>
      <w:r w:rsidR="00680A09">
        <w:rPr>
          <w:rStyle w:val="stitre"/>
          <w:rFonts w:ascii="Arial" w:hAnsi="Arial" w:cs="Arial"/>
          <w:b/>
          <w:bCs/>
          <w:sz w:val="28"/>
        </w:rPr>
        <w:t>Sujet N° 33</w:t>
      </w:r>
      <w:r>
        <w:rPr>
          <w:rFonts w:ascii="Arial" w:hAnsi="Arial" w:cs="Arial"/>
          <w:sz w:val="28"/>
        </w:rPr>
        <w:br/>
        <w:t>Temps de préparation : 20 minutes</w:t>
      </w:r>
    </w:p>
    <w:p w:rsidR="0095571A" w:rsidRDefault="0095571A" w:rsidP="0095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28"/>
        </w:rPr>
        <w:t>Durée de présentation orale : 20 minutes</w:t>
      </w:r>
    </w:p>
    <w:p w:rsidR="0095571A" w:rsidRDefault="0095571A" w:rsidP="0095571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/>
        <w:t xml:space="preserve">Le candidat  traitera les </w:t>
      </w:r>
      <w:r>
        <w:rPr>
          <w:rFonts w:ascii="Arial" w:hAnsi="Arial" w:cs="Arial"/>
          <w:b/>
        </w:rPr>
        <w:t>deux questions.</w:t>
      </w:r>
      <w:r>
        <w:rPr>
          <w:rFonts w:ascii="Arial" w:hAnsi="Arial" w:cs="Arial"/>
        </w:rPr>
        <w:t xml:space="preserve"> Il est possible d’utiliser des feuilles de brouillon durant la préparation, mais la présentation se fera </w:t>
      </w:r>
      <w:r>
        <w:rPr>
          <w:rFonts w:ascii="Arial" w:hAnsi="Arial" w:cs="Arial"/>
          <w:b/>
        </w:rPr>
        <w:t>oralement</w:t>
      </w:r>
      <w:r>
        <w:rPr>
          <w:rFonts w:ascii="Arial" w:hAnsi="Arial" w:cs="Arial"/>
        </w:rPr>
        <w:t>.</w:t>
      </w:r>
    </w:p>
    <w:p w:rsidR="0095571A" w:rsidRDefault="0095571A" w:rsidP="00955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L’examinateur posera des questions complémentaires durant les échanges.</w:t>
      </w:r>
    </w:p>
    <w:p w:rsidR="0095571A" w:rsidRDefault="0095571A" w:rsidP="00955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note sur </w:t>
      </w:r>
      <w:r>
        <w:rPr>
          <w:rFonts w:ascii="Arial" w:hAnsi="Arial" w:cs="Arial"/>
          <w:b/>
        </w:rPr>
        <w:t>20 points</w:t>
      </w:r>
      <w:r>
        <w:rPr>
          <w:rFonts w:ascii="Arial" w:hAnsi="Arial" w:cs="Arial"/>
        </w:rPr>
        <w:t xml:space="preserve"> prendra en compte pour moitié les </w:t>
      </w:r>
      <w:r>
        <w:rPr>
          <w:rFonts w:ascii="Arial" w:hAnsi="Arial" w:cs="Arial"/>
          <w:b/>
        </w:rPr>
        <w:t>connaissances</w:t>
      </w:r>
      <w:r>
        <w:rPr>
          <w:rFonts w:ascii="Arial" w:hAnsi="Arial" w:cs="Arial"/>
        </w:rPr>
        <w:t xml:space="preserve"> et pour moitié le </w:t>
      </w:r>
      <w:r>
        <w:rPr>
          <w:rFonts w:ascii="Arial" w:hAnsi="Arial" w:cs="Arial"/>
          <w:b/>
        </w:rPr>
        <w:t>raisonnement</w:t>
      </w:r>
      <w:r>
        <w:rPr>
          <w:rFonts w:ascii="Arial" w:hAnsi="Arial" w:cs="Arial"/>
        </w:rPr>
        <w:t xml:space="preserve"> à partir de </w:t>
      </w:r>
      <w:r>
        <w:rPr>
          <w:rFonts w:ascii="Arial" w:hAnsi="Arial" w:cs="Arial"/>
          <w:b/>
        </w:rPr>
        <w:t>l’exploitation des documents</w:t>
      </w:r>
      <w:r>
        <w:rPr>
          <w:rFonts w:ascii="Arial" w:hAnsi="Arial" w:cs="Arial"/>
        </w:rPr>
        <w:t>.</w:t>
      </w:r>
    </w:p>
    <w:p w:rsidR="0095571A" w:rsidRDefault="0095571A" w:rsidP="0095571A">
      <w:pPr>
        <w:jc w:val="both"/>
        <w:rPr>
          <w:rFonts w:ascii="Arial" w:hAnsi="Arial" w:cs="Arial"/>
          <w:sz w:val="28"/>
        </w:rPr>
      </w:pPr>
    </w:p>
    <w:p w:rsidR="0095571A" w:rsidRDefault="0095571A" w:rsidP="0095571A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Question 1 :</w:t>
      </w:r>
    </w:p>
    <w:p w:rsidR="0095571A" w:rsidRDefault="0095571A" w:rsidP="0095571A">
      <w:pPr>
        <w:jc w:val="both"/>
        <w:rPr>
          <w:rFonts w:ascii="Arial" w:hAnsi="Arial" w:cs="Arial"/>
          <w:b/>
          <w:sz w:val="8"/>
          <w:u w:val="single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Parmi les cellules immunitaires, les lymphocytes TCD4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ont un rôle essentiel dans le déroulement des réactions immunitaires.</w:t>
      </w:r>
    </w:p>
    <w:p w:rsidR="0095571A" w:rsidRDefault="0095571A" w:rsidP="0095571A">
      <w:pPr>
        <w:jc w:val="both"/>
        <w:rPr>
          <w:rFonts w:ascii="Arial" w:hAnsi="Arial" w:cs="Arial"/>
          <w:sz w:val="16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Document</w:t>
      </w:r>
      <w:r>
        <w:rPr>
          <w:rFonts w:ascii="Arial" w:hAnsi="Arial" w:cs="Arial"/>
          <w:sz w:val="22"/>
          <w:szCs w:val="22"/>
        </w:rPr>
        <w:t xml:space="preserve"> : dispositif de culture en chambre de </w:t>
      </w:r>
      <w:proofErr w:type="spellStart"/>
      <w:r>
        <w:rPr>
          <w:rFonts w:ascii="Arial" w:hAnsi="Arial" w:cs="Arial"/>
          <w:sz w:val="22"/>
          <w:szCs w:val="22"/>
        </w:rPr>
        <w:t>Marbrook</w:t>
      </w:r>
      <w:proofErr w:type="spellEnd"/>
      <w:r>
        <w:rPr>
          <w:rFonts w:ascii="Arial" w:hAnsi="Arial" w:cs="Arial"/>
          <w:sz w:val="22"/>
          <w:szCs w:val="22"/>
        </w:rPr>
        <w:t xml:space="preserve"> et résultats</w:t>
      </w: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112395</wp:posOffset>
            </wp:positionV>
            <wp:extent cx="3674745" cy="1947545"/>
            <wp:effectExtent l="0" t="0" r="0" b="0"/>
            <wp:wrapSquare wrapText="bothSides"/>
            <wp:docPr id="2" name="Image 2" descr="http://artic.ac-besancon.fr/svt/act_ped/svt_lyc/eva_bac/s-bac2007/images/marbro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ic.ac-besancon.fr/svt/act_ped/svt_lyc/eva_bac/s-bac2007/images/marbrook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pStyle w:val="Corpsdetexte2"/>
        <w:rPr>
          <w:noProof/>
        </w:rPr>
      </w:pPr>
      <w:r>
        <w:t xml:space="preserve">Des lymphocytes T et B, sensibilisés par contact avec un antigène soluble Z, sont placés dans une chambre de culture de </w:t>
      </w:r>
      <w:proofErr w:type="spellStart"/>
      <w:r>
        <w:t>Marbrook</w:t>
      </w:r>
      <w:proofErr w:type="spellEnd"/>
      <w:r>
        <w:t>.</w:t>
      </w:r>
    </w:p>
    <w:p w:rsidR="0095571A" w:rsidRDefault="0095571A" w:rsidP="0095571A">
      <w:pPr>
        <w:jc w:val="both"/>
        <w:rPr>
          <w:rFonts w:ascii="Arial" w:hAnsi="Arial" w:cs="Arial"/>
          <w:noProof/>
          <w:sz w:val="22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résultats des différentes cultures sont présentés dans le tableau ci-dessous :</w:t>
      </w:r>
    </w:p>
    <w:p w:rsidR="0095571A" w:rsidRDefault="0095571A" w:rsidP="0095571A">
      <w:pPr>
        <w:jc w:val="both"/>
        <w:rPr>
          <w:rFonts w:ascii="Arial" w:hAnsi="Arial" w:cs="Arial"/>
          <w:sz w:val="8"/>
          <w:szCs w:val="22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shd w:val="clear" w:color="auto" w:fill="FFF0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845"/>
        <w:gridCol w:w="2265"/>
        <w:gridCol w:w="3255"/>
      </w:tblGrid>
      <w:tr w:rsidR="0095571A" w:rsidTr="009B32BE">
        <w:trPr>
          <w:cantSplit/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Cultures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Nature des lymphocytes sensibilisés placés dans la chambre 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Nombre de plasmocytes sécréteurs d’anticorps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anti-Z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présents dans la chambre inférieure </w:t>
            </w:r>
          </w:p>
        </w:tc>
      </w:tr>
      <w:tr w:rsidR="0095571A" w:rsidTr="009B32BE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71A" w:rsidRDefault="0095571A" w:rsidP="009B32B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supérieure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inférieure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71A" w:rsidRDefault="0095571A" w:rsidP="009B32B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571A" w:rsidTr="009B32BE">
        <w:trPr>
          <w:tblCellSpacing w:w="0" w:type="dxa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1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Pas de cellule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T* et B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960 x10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6</w:t>
            </w:r>
          </w:p>
        </w:tc>
      </w:tr>
      <w:tr w:rsidR="0095571A" w:rsidTr="009B32BE">
        <w:trPr>
          <w:tblCellSpacing w:w="0" w:type="dxa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Pas de cellule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72 x10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6</w:t>
            </w:r>
          </w:p>
        </w:tc>
      </w:tr>
      <w:tr w:rsidR="0095571A" w:rsidTr="009B32BE">
        <w:trPr>
          <w:tblCellSpacing w:w="0" w:type="dxa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3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T*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71A" w:rsidRDefault="0095571A" w:rsidP="009B32B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1011 x10</w:t>
            </w:r>
            <w:r>
              <w:rPr>
                <w:rFonts w:ascii="Arial" w:hAnsi="Arial" w:cs="Arial"/>
                <w:sz w:val="20"/>
                <w:szCs w:val="22"/>
                <w:vertAlign w:val="superscript"/>
              </w:rPr>
              <w:t>6</w:t>
            </w:r>
          </w:p>
        </w:tc>
      </w:tr>
    </w:tbl>
    <w:p w:rsidR="0095571A" w:rsidRDefault="0095571A" w:rsidP="0095571A">
      <w:pPr>
        <w:tabs>
          <w:tab w:val="left" w:pos="770"/>
          <w:tab w:val="right" w:pos="10466"/>
        </w:tabs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* </w:t>
      </w:r>
      <w:r>
        <w:rPr>
          <w:rFonts w:ascii="Arial" w:hAnsi="Arial" w:cs="Arial"/>
          <w:iCs/>
          <w:sz w:val="22"/>
          <w:szCs w:val="22"/>
        </w:rPr>
        <w:t>Les lymphocytes T utilisés sont des LT CD4</w:t>
      </w:r>
      <w:r>
        <w:rPr>
          <w:rFonts w:ascii="Arial" w:hAnsi="Arial" w:cs="Arial"/>
          <w:iCs/>
          <w:sz w:val="22"/>
          <w:szCs w:val="22"/>
          <w:vertAlign w:val="superscript"/>
        </w:rPr>
        <w:t>+</w:t>
      </w:r>
      <w:r>
        <w:rPr>
          <w:rFonts w:ascii="Arial" w:hAnsi="Arial" w:cs="Arial"/>
          <w:iCs/>
          <w:sz w:val="22"/>
          <w:szCs w:val="22"/>
        </w:rPr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>
        <w:rPr>
          <w:rFonts w:ascii="Arial" w:hAnsi="Arial" w:cs="Arial"/>
          <w:i/>
          <w:iCs/>
          <w:sz w:val="20"/>
          <w:szCs w:val="22"/>
        </w:rPr>
        <w:t>(d’après Belin TS 2002)</w:t>
      </w:r>
    </w:p>
    <w:p w:rsidR="0095571A" w:rsidRDefault="0095571A" w:rsidP="0095571A">
      <w:pPr>
        <w:jc w:val="right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jc w:val="right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Document 2</w:t>
      </w:r>
      <w:r>
        <w:rPr>
          <w:rFonts w:ascii="Arial" w:hAnsi="Arial" w:cs="Arial"/>
          <w:bCs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évolution du nombre de lymphocytes TCD8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dans la rate de souris </w:t>
      </w:r>
    </w:p>
    <w:p w:rsidR="0095571A" w:rsidRDefault="0095571A" w:rsidP="0095571A">
      <w:pPr>
        <w:pStyle w:val="Corpsdetexte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163830</wp:posOffset>
            </wp:positionV>
            <wp:extent cx="3672840" cy="18154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81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71A" w:rsidRDefault="0095571A" w:rsidP="0095571A">
      <w:pPr>
        <w:pStyle w:val="Corpsdetexte"/>
      </w:pPr>
    </w:p>
    <w:p w:rsidR="0095571A" w:rsidRDefault="0095571A" w:rsidP="0095571A">
      <w:pPr>
        <w:pStyle w:val="Corpsdetexte"/>
        <w:jc w:val="both"/>
      </w:pPr>
      <w:r>
        <w:t>On étudie la réponse immunitaire consécutive à une infection par un virus chez des mutants de souris déficients en interleukines et chez des souris normales.</w:t>
      </w:r>
    </w:p>
    <w:p w:rsidR="0095571A" w:rsidRDefault="0095571A" w:rsidP="0095571A">
      <w:pPr>
        <w:pStyle w:val="Titre1"/>
      </w:pPr>
      <w:r>
        <w:t>U.A. = unités arbitraires</w:t>
      </w: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jc w:val="both"/>
        <w:rPr>
          <w:rFonts w:ascii="Arial" w:hAnsi="Arial" w:cs="Arial"/>
          <w:i/>
          <w:iCs/>
          <w:sz w:val="22"/>
          <w:szCs w:val="18"/>
        </w:rPr>
      </w:pPr>
    </w:p>
    <w:p w:rsidR="0095571A" w:rsidRDefault="0095571A" w:rsidP="0095571A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>(Modifié d’après Nathan TS 2002)</w:t>
      </w:r>
    </w:p>
    <w:p w:rsidR="0095571A" w:rsidRDefault="0095571A" w:rsidP="0095571A">
      <w:pPr>
        <w:rPr>
          <w:rFonts w:ascii="Arial" w:hAnsi="Arial" w:cs="Arial"/>
          <w:sz w:val="22"/>
          <w:szCs w:val="22"/>
        </w:rPr>
      </w:pPr>
    </w:p>
    <w:p w:rsidR="0095571A" w:rsidRDefault="0095571A" w:rsidP="0095571A">
      <w:pPr>
        <w:pStyle w:val="Corpsdetexte3"/>
        <w:rPr>
          <w:rFonts w:ascii="Calibri" w:eastAsia="MS Mincho" w:hAnsi="Calibri"/>
          <w:sz w:val="22"/>
          <w:lang w:eastAsia="ja-JP"/>
        </w:rPr>
      </w:pPr>
      <w:r>
        <w:rPr>
          <w:lang w:bidi="en-US"/>
        </w:rPr>
        <w:t xml:space="preserve">Montrez, à travers les résultats des expériences, comment les cellules immunitaires coopèrent entre elles. </w:t>
      </w:r>
    </w:p>
    <w:p w:rsidR="008077A2" w:rsidRPr="008077A2" w:rsidRDefault="0095571A" w:rsidP="008077A2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  <w:r w:rsidR="008077A2" w:rsidRPr="008077A2">
        <w:rPr>
          <w:rFonts w:ascii="Arial" w:hAnsi="Arial" w:cs="Arial"/>
          <w:b/>
          <w:sz w:val="28"/>
          <w:u w:val="single"/>
        </w:rPr>
        <w:lastRenderedPageBreak/>
        <w:t>Question 2 :</w:t>
      </w:r>
    </w:p>
    <w:p w:rsidR="008077A2" w:rsidRPr="008077A2" w:rsidRDefault="008077A2" w:rsidP="008077A2">
      <w:pPr>
        <w:spacing w:after="200" w:line="276" w:lineRule="auto"/>
        <w:rPr>
          <w:rFonts w:ascii="Arial" w:eastAsia="Arial" w:hAnsi="Arial"/>
          <w:b/>
          <w:sz w:val="28"/>
          <w:szCs w:val="28"/>
          <w:lang w:eastAsia="en-US"/>
        </w:rPr>
      </w:pPr>
    </w:p>
    <w:p w:rsidR="008077A2" w:rsidRPr="008077A2" w:rsidRDefault="008077A2" w:rsidP="008077A2">
      <w:pPr>
        <w:jc w:val="center"/>
        <w:rPr>
          <w:rFonts w:ascii="Arial" w:eastAsia="Arial" w:hAnsi="Arial"/>
          <w:sz w:val="22"/>
          <w:szCs w:val="22"/>
          <w:u w:val="single"/>
          <w:lang w:eastAsia="en-US"/>
        </w:rPr>
      </w:pPr>
      <w:r w:rsidRPr="008077A2">
        <w:rPr>
          <w:rFonts w:ascii="Arial" w:eastAsia="Arial" w:hAnsi="Arial"/>
          <w:sz w:val="22"/>
          <w:szCs w:val="22"/>
          <w:u w:val="single"/>
          <w:lang w:eastAsia="en-US"/>
        </w:rPr>
        <w:t>Document 1 </w:t>
      </w:r>
      <w:r w:rsidRPr="008077A2">
        <w:rPr>
          <w:rFonts w:ascii="Arial" w:eastAsia="Arial" w:hAnsi="Arial"/>
          <w:sz w:val="22"/>
          <w:szCs w:val="22"/>
          <w:lang w:eastAsia="en-US"/>
        </w:rPr>
        <w:t>: carte de la répartition mondiale de quelques roches sédimentaires au Crétacé supérieur</w:t>
      </w:r>
    </w:p>
    <w:p w:rsidR="008077A2" w:rsidRPr="008077A2" w:rsidRDefault="008077A2" w:rsidP="008077A2">
      <w:pPr>
        <w:jc w:val="right"/>
        <w:rPr>
          <w:rFonts w:ascii="Arial" w:eastAsia="Arial" w:hAnsi="Arial"/>
          <w:i/>
          <w:sz w:val="18"/>
          <w:szCs w:val="18"/>
          <w:lang w:eastAsia="en-US"/>
        </w:rPr>
      </w:pPr>
      <w:r w:rsidRPr="008077A2">
        <w:rPr>
          <w:rFonts w:ascii="Arial" w:eastAsia="Arial" w:hAnsi="Arial"/>
          <w:i/>
          <w:sz w:val="18"/>
          <w:szCs w:val="18"/>
          <w:lang w:eastAsia="en-US"/>
        </w:rPr>
        <w:t>D’après Terminale S, SVT, éditions Bordas</w:t>
      </w:r>
    </w:p>
    <w:p w:rsidR="008077A2" w:rsidRPr="008077A2" w:rsidRDefault="008077A2" w:rsidP="008077A2">
      <w:pPr>
        <w:spacing w:after="200" w:line="276" w:lineRule="auto"/>
        <w:jc w:val="center"/>
        <w:rPr>
          <w:rFonts w:ascii="Arial" w:eastAsia="Arial" w:hAnsi="Arial"/>
          <w:sz w:val="22"/>
          <w:szCs w:val="22"/>
          <w:lang w:eastAsia="en-US"/>
        </w:rPr>
      </w:pPr>
      <w:r>
        <w:rPr>
          <w:rFonts w:ascii="Arial" w:eastAsia="Arial" w:hAnsi="Arial"/>
          <w:noProof/>
          <w:sz w:val="22"/>
          <w:szCs w:val="22"/>
        </w:rPr>
        <w:drawing>
          <wp:inline distT="0" distB="0" distL="0" distR="0">
            <wp:extent cx="5974080" cy="3063240"/>
            <wp:effectExtent l="0" t="0" r="762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A2" w:rsidRPr="008077A2" w:rsidRDefault="008077A2" w:rsidP="008077A2">
      <w:pPr>
        <w:spacing w:after="200" w:line="276" w:lineRule="auto"/>
        <w:jc w:val="center"/>
        <w:rPr>
          <w:rFonts w:ascii="Arial" w:eastAsia="Arial" w:hAnsi="Arial"/>
          <w:sz w:val="22"/>
          <w:szCs w:val="22"/>
          <w:u w:val="single"/>
          <w:lang w:eastAsia="en-US"/>
        </w:rPr>
      </w:pPr>
    </w:p>
    <w:p w:rsidR="008077A2" w:rsidRPr="008077A2" w:rsidRDefault="008077A2" w:rsidP="008077A2">
      <w:pPr>
        <w:spacing w:after="200" w:line="276" w:lineRule="auto"/>
        <w:jc w:val="center"/>
        <w:rPr>
          <w:rFonts w:ascii="Arial" w:eastAsia="Arial" w:hAnsi="Arial"/>
          <w:sz w:val="22"/>
          <w:szCs w:val="22"/>
          <w:lang w:eastAsia="en-US"/>
        </w:rPr>
      </w:pPr>
      <w:r w:rsidRPr="008077A2">
        <w:rPr>
          <w:rFonts w:ascii="Arial" w:eastAsia="Arial" w:hAnsi="Arial"/>
          <w:sz w:val="22"/>
          <w:szCs w:val="22"/>
          <w:u w:val="single"/>
          <w:lang w:eastAsia="en-US"/>
        </w:rPr>
        <w:t>Document 2 </w:t>
      </w:r>
      <w:r w:rsidRPr="008077A2">
        <w:rPr>
          <w:rFonts w:ascii="Arial" w:eastAsia="Arial" w:hAnsi="Arial"/>
          <w:sz w:val="22"/>
          <w:szCs w:val="22"/>
          <w:lang w:eastAsia="en-US"/>
        </w:rPr>
        <w:t>: Conditions de formation de quelques roches sédimentaires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367"/>
        <w:gridCol w:w="3972"/>
        <w:gridCol w:w="1341"/>
        <w:gridCol w:w="1069"/>
      </w:tblGrid>
      <w:tr w:rsidR="008077A2" w:rsidRPr="008077A2" w:rsidTr="009B32BE">
        <w:trPr>
          <w:jc w:val="center"/>
        </w:trPr>
        <w:tc>
          <w:tcPr>
            <w:tcW w:w="926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Roches sédimentaires</w:t>
            </w:r>
          </w:p>
        </w:tc>
        <w:tc>
          <w:tcPr>
            <w:tcW w:w="1129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Bauxites et latérites</w:t>
            </w:r>
          </w:p>
        </w:tc>
        <w:tc>
          <w:tcPr>
            <w:tcW w:w="1880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Charbon</w:t>
            </w:r>
          </w:p>
        </w:tc>
        <w:tc>
          <w:tcPr>
            <w:tcW w:w="544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Evaporites</w:t>
            </w:r>
          </w:p>
        </w:tc>
        <w:tc>
          <w:tcPr>
            <w:tcW w:w="521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Tillites</w:t>
            </w:r>
          </w:p>
        </w:tc>
      </w:tr>
      <w:tr w:rsidR="008077A2" w:rsidRPr="008077A2" w:rsidTr="009B32BE">
        <w:trPr>
          <w:jc w:val="center"/>
        </w:trPr>
        <w:tc>
          <w:tcPr>
            <w:tcW w:w="926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Milieu et/ou climat favorables</w:t>
            </w:r>
          </w:p>
        </w:tc>
        <w:tc>
          <w:tcPr>
            <w:tcW w:w="1129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Climat chaud et humide de type tropical</w:t>
            </w:r>
          </w:p>
        </w:tc>
        <w:tc>
          <w:tcPr>
            <w:tcW w:w="1880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Milieux continentaux tempérés à tropicaux à forte productivité primaire</w:t>
            </w:r>
          </w:p>
        </w:tc>
        <w:tc>
          <w:tcPr>
            <w:tcW w:w="544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Milieu aride</w:t>
            </w:r>
          </w:p>
        </w:tc>
        <w:tc>
          <w:tcPr>
            <w:tcW w:w="521" w:type="pct"/>
            <w:shd w:val="clear" w:color="auto" w:fill="auto"/>
          </w:tcPr>
          <w:p w:rsidR="008077A2" w:rsidRPr="008077A2" w:rsidRDefault="008077A2" w:rsidP="008077A2">
            <w:pPr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Climat polaire</w:t>
            </w:r>
          </w:p>
        </w:tc>
      </w:tr>
    </w:tbl>
    <w:p w:rsidR="008077A2" w:rsidRPr="008077A2" w:rsidRDefault="008077A2" w:rsidP="008077A2">
      <w:pPr>
        <w:spacing w:after="200" w:line="276" w:lineRule="auto"/>
        <w:jc w:val="center"/>
        <w:rPr>
          <w:rFonts w:ascii="Arial" w:eastAsia="Arial" w:hAnsi="Arial"/>
          <w:sz w:val="22"/>
          <w:szCs w:val="22"/>
          <w:u w:val="single"/>
          <w:lang w:eastAsia="en-US"/>
        </w:rPr>
      </w:pPr>
    </w:p>
    <w:p w:rsidR="008077A2" w:rsidRPr="008077A2" w:rsidRDefault="008077A2" w:rsidP="008077A2">
      <w:pPr>
        <w:spacing w:after="200" w:line="276" w:lineRule="auto"/>
        <w:jc w:val="center"/>
        <w:rPr>
          <w:rFonts w:ascii="Arial" w:eastAsia="Arial" w:hAnsi="Arial"/>
          <w:sz w:val="22"/>
          <w:szCs w:val="22"/>
          <w:u w:val="single"/>
          <w:lang w:eastAsia="en-US"/>
        </w:rPr>
      </w:pPr>
    </w:p>
    <w:p w:rsidR="008077A2" w:rsidRPr="008077A2" w:rsidRDefault="008077A2" w:rsidP="008077A2">
      <w:pPr>
        <w:spacing w:after="200" w:line="276" w:lineRule="auto"/>
        <w:jc w:val="center"/>
        <w:rPr>
          <w:rFonts w:ascii="Arial" w:eastAsia="Arial" w:hAnsi="Arial"/>
          <w:sz w:val="22"/>
          <w:szCs w:val="22"/>
          <w:lang w:eastAsia="en-US"/>
        </w:rPr>
      </w:pPr>
      <w:r w:rsidRPr="008077A2">
        <w:rPr>
          <w:rFonts w:ascii="Arial" w:eastAsia="Arial" w:hAnsi="Arial"/>
          <w:sz w:val="22"/>
          <w:szCs w:val="22"/>
          <w:u w:val="single"/>
          <w:lang w:eastAsia="en-US"/>
        </w:rPr>
        <w:t>Document 3 </w:t>
      </w:r>
      <w:r w:rsidRPr="008077A2">
        <w:rPr>
          <w:rFonts w:ascii="Arial" w:eastAsia="Arial" w:hAnsi="Arial"/>
          <w:sz w:val="22"/>
          <w:szCs w:val="22"/>
          <w:lang w:eastAsia="en-US"/>
        </w:rPr>
        <w:t>: Proportion des différentes formations à la surface du globe au Crétacé et actuellement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8077A2" w:rsidRPr="008077A2" w:rsidTr="009B32BE">
        <w:trPr>
          <w:jc w:val="center"/>
        </w:trPr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Type de surface</w:t>
            </w:r>
          </w:p>
        </w:tc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Albédo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Proportions au Crétacé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Proportions actuellement</w:t>
            </w:r>
          </w:p>
        </w:tc>
      </w:tr>
      <w:tr w:rsidR="008077A2" w:rsidRPr="008077A2" w:rsidTr="009B32BE">
        <w:trPr>
          <w:jc w:val="center"/>
        </w:trPr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Terres émergées</w:t>
            </w:r>
          </w:p>
        </w:tc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15 à 50 %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18 %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29 %</w:t>
            </w:r>
          </w:p>
        </w:tc>
      </w:tr>
      <w:tr w:rsidR="008077A2" w:rsidRPr="008077A2" w:rsidTr="009B32BE">
        <w:trPr>
          <w:jc w:val="center"/>
        </w:trPr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Terres immergées</w:t>
            </w:r>
          </w:p>
        </w:tc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5 à 10 %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82 %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71 %</w:t>
            </w:r>
          </w:p>
        </w:tc>
      </w:tr>
      <w:tr w:rsidR="008077A2" w:rsidRPr="008077A2" w:rsidTr="009B32BE">
        <w:trPr>
          <w:jc w:val="center"/>
        </w:trPr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b/>
                <w:sz w:val="22"/>
                <w:szCs w:val="22"/>
                <w:lang w:eastAsia="en-US"/>
              </w:rPr>
              <w:t>Glaces</w:t>
            </w:r>
          </w:p>
        </w:tc>
        <w:tc>
          <w:tcPr>
            <w:tcW w:w="2651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Supérieur à 90 %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52" w:type="dxa"/>
            <w:shd w:val="clear" w:color="auto" w:fill="auto"/>
          </w:tcPr>
          <w:p w:rsidR="008077A2" w:rsidRPr="008077A2" w:rsidRDefault="008077A2" w:rsidP="008077A2">
            <w:pPr>
              <w:jc w:val="center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>20.10</w:t>
            </w:r>
            <w:r w:rsidRPr="008077A2">
              <w:rPr>
                <w:rFonts w:ascii="Arial" w:eastAsia="Arial" w:hAnsi="Arial"/>
                <w:sz w:val="22"/>
                <w:szCs w:val="22"/>
                <w:vertAlign w:val="superscript"/>
                <w:lang w:eastAsia="en-US"/>
              </w:rPr>
              <w:t>6</w:t>
            </w:r>
            <w:r w:rsidRPr="008077A2">
              <w:rPr>
                <w:rFonts w:ascii="Arial" w:eastAsia="Arial" w:hAnsi="Arial"/>
                <w:sz w:val="22"/>
                <w:szCs w:val="22"/>
                <w:lang w:eastAsia="en-US"/>
              </w:rPr>
              <w:t xml:space="preserve"> km</w:t>
            </w:r>
            <w:r w:rsidRPr="008077A2">
              <w:rPr>
                <w:rFonts w:ascii="Arial" w:eastAsia="Arial" w:hAnsi="Arial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</w:tbl>
    <w:p w:rsidR="008077A2" w:rsidRPr="008077A2" w:rsidRDefault="008077A2" w:rsidP="008077A2">
      <w:pPr>
        <w:spacing w:after="200"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8077A2" w:rsidRPr="008077A2" w:rsidRDefault="008077A2" w:rsidP="008077A2">
      <w:pPr>
        <w:jc w:val="both"/>
        <w:rPr>
          <w:rFonts w:ascii="Arial" w:eastAsia="Arial" w:hAnsi="Arial"/>
          <w:lang w:eastAsia="en-US"/>
        </w:rPr>
      </w:pPr>
      <w:r w:rsidRPr="008077A2">
        <w:rPr>
          <w:rFonts w:ascii="Arial" w:eastAsia="Arial" w:hAnsi="Arial"/>
          <w:lang w:eastAsia="en-US"/>
        </w:rPr>
        <w:t>L’</w:t>
      </w:r>
      <w:r w:rsidRPr="008077A2">
        <w:rPr>
          <w:rFonts w:ascii="Arial" w:eastAsia="Arial" w:hAnsi="Arial"/>
          <w:u w:val="single"/>
          <w:lang w:eastAsia="en-US"/>
        </w:rPr>
        <w:t>albédo</w:t>
      </w:r>
      <w:r w:rsidRPr="008077A2">
        <w:rPr>
          <w:rFonts w:ascii="Arial" w:eastAsia="Arial" w:hAnsi="Arial"/>
          <w:lang w:eastAsia="en-US"/>
        </w:rPr>
        <w:t xml:space="preserve"> se définit comme le rapport entre l’énergie réfléchie par une surface et l’énergie reçue par cette même surface (énergie incidente).</w:t>
      </w:r>
    </w:p>
    <w:p w:rsidR="008077A2" w:rsidRPr="008077A2" w:rsidRDefault="008077A2" w:rsidP="008077A2">
      <w:pPr>
        <w:spacing w:after="200"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8077A2" w:rsidRPr="008077A2" w:rsidRDefault="008077A2" w:rsidP="008077A2">
      <w:pPr>
        <w:rPr>
          <w:rFonts w:ascii="Arial" w:eastAsia="Arial" w:hAnsi="Arial"/>
          <w:b/>
          <w:sz w:val="22"/>
          <w:szCs w:val="22"/>
          <w:lang w:eastAsia="en-US"/>
        </w:rPr>
      </w:pPr>
      <w:r w:rsidRPr="008077A2">
        <w:rPr>
          <w:rFonts w:ascii="Arial" w:eastAsia="Arial" w:hAnsi="Arial"/>
          <w:b/>
          <w:sz w:val="22"/>
          <w:szCs w:val="22"/>
          <w:lang w:eastAsia="en-US"/>
        </w:rPr>
        <w:t>A l’aide de l’étude des documents,</w:t>
      </w:r>
    </w:p>
    <w:p w:rsidR="008077A2" w:rsidRPr="008077A2" w:rsidRDefault="008077A2" w:rsidP="008077A2">
      <w:pPr>
        <w:rPr>
          <w:rFonts w:ascii="Arial" w:eastAsia="Arial" w:hAnsi="Arial" w:cs="Arial"/>
          <w:b/>
          <w:sz w:val="22"/>
          <w:szCs w:val="22"/>
          <w:lang w:eastAsia="en-US"/>
        </w:rPr>
      </w:pPr>
      <w:r w:rsidRPr="008077A2">
        <w:rPr>
          <w:rFonts w:ascii="Arial" w:eastAsia="Arial" w:hAnsi="Arial" w:cs="Arial"/>
          <w:b/>
          <w:sz w:val="22"/>
          <w:szCs w:val="22"/>
          <w:lang w:eastAsia="en-US"/>
        </w:rPr>
        <w:t>- déterminez quelles étaient les conditions climatiques régnant au Crétacé,</w:t>
      </w:r>
    </w:p>
    <w:p w:rsidR="008077A2" w:rsidRPr="008077A2" w:rsidRDefault="008077A2" w:rsidP="008077A2">
      <w:pPr>
        <w:rPr>
          <w:rFonts w:ascii="Arial" w:eastAsia="Arial" w:hAnsi="Arial" w:cs="Arial"/>
          <w:b/>
          <w:sz w:val="22"/>
          <w:szCs w:val="22"/>
          <w:lang w:eastAsia="en-US"/>
        </w:rPr>
      </w:pPr>
      <w:r w:rsidRPr="008077A2">
        <w:rPr>
          <w:rFonts w:ascii="Arial" w:eastAsia="Arial" w:hAnsi="Arial" w:cs="Arial"/>
          <w:b/>
          <w:sz w:val="22"/>
          <w:szCs w:val="22"/>
          <w:lang w:eastAsia="en-US"/>
        </w:rPr>
        <w:t>- proposez une explication à ces conditions climatiques différentes de celles régnant actuellement.</w:t>
      </w:r>
    </w:p>
    <w:p w:rsidR="008077A2" w:rsidRPr="008077A2" w:rsidRDefault="008077A2" w:rsidP="008077A2">
      <w:pPr>
        <w:rPr>
          <w:rFonts w:ascii="Arial" w:eastAsia="Arial" w:hAnsi="Arial"/>
          <w:b/>
          <w:sz w:val="22"/>
          <w:szCs w:val="22"/>
          <w:lang w:eastAsia="en-US"/>
        </w:rPr>
      </w:pPr>
    </w:p>
    <w:p w:rsidR="008077A2" w:rsidRPr="008077A2" w:rsidRDefault="008077A2" w:rsidP="008077A2">
      <w:pPr>
        <w:rPr>
          <w:rFonts w:ascii="Arial" w:eastAsia="Arial" w:hAnsi="Arial"/>
          <w:b/>
          <w:sz w:val="22"/>
          <w:szCs w:val="22"/>
          <w:lang w:eastAsia="en-US"/>
        </w:rPr>
      </w:pPr>
      <w:r w:rsidRPr="008077A2">
        <w:rPr>
          <w:rFonts w:ascii="Arial" w:eastAsia="Arial" w:hAnsi="Arial"/>
          <w:b/>
          <w:sz w:val="22"/>
          <w:szCs w:val="22"/>
          <w:lang w:eastAsia="en-US"/>
        </w:rPr>
        <w:t xml:space="preserve">A l’aide de vos connaissances, citez une autre cause possible pouvant être à l’origine d’une modification du climat. </w:t>
      </w:r>
    </w:p>
    <w:p w:rsidR="008077A2" w:rsidRPr="008077A2" w:rsidRDefault="008077A2" w:rsidP="008077A2">
      <w:pPr>
        <w:rPr>
          <w:rFonts w:ascii="Arial" w:eastAsia="Calibri" w:hAnsi="Arial" w:cs="Arial"/>
          <w:b/>
          <w:lang w:eastAsia="en-US"/>
        </w:rPr>
      </w:pPr>
    </w:p>
    <w:p w:rsidR="00A31784" w:rsidRDefault="00680A09" w:rsidP="0095571A"/>
    <w:sectPr w:rsidR="00A31784" w:rsidSect="00955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1A"/>
    <w:rsid w:val="000338D7"/>
    <w:rsid w:val="0021703E"/>
    <w:rsid w:val="003F4C8B"/>
    <w:rsid w:val="00456533"/>
    <w:rsid w:val="00536639"/>
    <w:rsid w:val="00680A09"/>
    <w:rsid w:val="008077A2"/>
    <w:rsid w:val="0095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1A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5571A"/>
    <w:pPr>
      <w:keepNext/>
      <w:outlineLvl w:val="0"/>
    </w:pPr>
    <w:rPr>
      <w:rFonts w:ascii="Arial" w:hAnsi="Arial" w:cs="Arial"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653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56533"/>
    <w:pPr>
      <w:spacing w:after="200" w:line="276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95571A"/>
    <w:rPr>
      <w:rFonts w:ascii="Arial" w:eastAsia="Times New Roman" w:hAnsi="Arial" w:cs="Arial"/>
      <w:i/>
      <w:iCs/>
      <w:lang w:eastAsia="fr-FR"/>
    </w:rPr>
  </w:style>
  <w:style w:type="character" w:customStyle="1" w:styleId="stitre">
    <w:name w:val="stitre"/>
    <w:basedOn w:val="Policepardfaut"/>
    <w:rsid w:val="0095571A"/>
  </w:style>
  <w:style w:type="paragraph" w:styleId="Corpsdetexte2">
    <w:name w:val="Body Text 2"/>
    <w:basedOn w:val="Normal"/>
    <w:link w:val="Corpsdetexte2Car"/>
    <w:semiHidden/>
    <w:rsid w:val="0095571A"/>
    <w:pPr>
      <w:jc w:val="both"/>
    </w:pPr>
    <w:rPr>
      <w:rFonts w:ascii="Arial" w:hAnsi="Arial" w:cs="Arial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semiHidden/>
    <w:rsid w:val="0095571A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semiHidden/>
    <w:rsid w:val="0095571A"/>
    <w:rPr>
      <w:rFonts w:ascii="Arial" w:hAnsi="Arial" w:cs="Arial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95571A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semiHidden/>
    <w:rsid w:val="0095571A"/>
    <w:pPr>
      <w:jc w:val="both"/>
    </w:pPr>
    <w:rPr>
      <w:rFonts w:ascii="Arial" w:eastAsia="Calibri" w:hAnsi="Arial" w:cs="Arial"/>
      <w:b/>
      <w:szCs w:val="22"/>
      <w:lang w:eastAsia="en-US"/>
    </w:rPr>
  </w:style>
  <w:style w:type="character" w:customStyle="1" w:styleId="Corpsdetexte3Car">
    <w:name w:val="Corps de texte 3 Car"/>
    <w:basedOn w:val="Policepardfaut"/>
    <w:link w:val="Corpsdetexte3"/>
    <w:semiHidden/>
    <w:rsid w:val="0095571A"/>
    <w:rPr>
      <w:rFonts w:ascii="Arial" w:eastAsia="Calibri" w:hAnsi="Arial" w:cs="Arial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7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7A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1A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5571A"/>
    <w:pPr>
      <w:keepNext/>
      <w:outlineLvl w:val="0"/>
    </w:pPr>
    <w:rPr>
      <w:rFonts w:ascii="Arial" w:hAnsi="Arial" w:cs="Arial"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653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56533"/>
    <w:pPr>
      <w:spacing w:after="200" w:line="276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95571A"/>
    <w:rPr>
      <w:rFonts w:ascii="Arial" w:eastAsia="Times New Roman" w:hAnsi="Arial" w:cs="Arial"/>
      <w:i/>
      <w:iCs/>
      <w:lang w:eastAsia="fr-FR"/>
    </w:rPr>
  </w:style>
  <w:style w:type="character" w:customStyle="1" w:styleId="stitre">
    <w:name w:val="stitre"/>
    <w:basedOn w:val="Policepardfaut"/>
    <w:rsid w:val="0095571A"/>
  </w:style>
  <w:style w:type="paragraph" w:styleId="Corpsdetexte2">
    <w:name w:val="Body Text 2"/>
    <w:basedOn w:val="Normal"/>
    <w:link w:val="Corpsdetexte2Car"/>
    <w:semiHidden/>
    <w:rsid w:val="0095571A"/>
    <w:pPr>
      <w:jc w:val="both"/>
    </w:pPr>
    <w:rPr>
      <w:rFonts w:ascii="Arial" w:hAnsi="Arial" w:cs="Arial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semiHidden/>
    <w:rsid w:val="0095571A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semiHidden/>
    <w:rsid w:val="0095571A"/>
    <w:rPr>
      <w:rFonts w:ascii="Arial" w:hAnsi="Arial" w:cs="Arial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95571A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semiHidden/>
    <w:rsid w:val="0095571A"/>
    <w:pPr>
      <w:jc w:val="both"/>
    </w:pPr>
    <w:rPr>
      <w:rFonts w:ascii="Arial" w:eastAsia="Calibri" w:hAnsi="Arial" w:cs="Arial"/>
      <w:b/>
      <w:szCs w:val="22"/>
      <w:lang w:eastAsia="en-US"/>
    </w:rPr>
  </w:style>
  <w:style w:type="character" w:customStyle="1" w:styleId="Corpsdetexte3Car">
    <w:name w:val="Corps de texte 3 Car"/>
    <w:basedOn w:val="Policepardfaut"/>
    <w:link w:val="Corpsdetexte3"/>
    <w:semiHidden/>
    <w:rsid w:val="0095571A"/>
    <w:rPr>
      <w:rFonts w:ascii="Arial" w:eastAsia="Calibri" w:hAnsi="Arial" w:cs="Arial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7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7A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artic.ac-besancon.fr/svt/act_ped/svt_lyc/eva_bac/s-bac2007/images/marbrook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Marie Claire</cp:lastModifiedBy>
  <cp:revision>3</cp:revision>
  <dcterms:created xsi:type="dcterms:W3CDTF">2013-06-13T15:19:00Z</dcterms:created>
  <dcterms:modified xsi:type="dcterms:W3CDTF">2013-06-17T18:14:00Z</dcterms:modified>
</cp:coreProperties>
</file>