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70" w:rsidRDefault="00050E70" w:rsidP="00050E7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Style w:val="stitre"/>
          <w:rFonts w:ascii="Arial" w:hAnsi="Arial" w:cs="Arial"/>
          <w:b/>
          <w:bCs/>
          <w:sz w:val="28"/>
          <w:szCs w:val="28"/>
        </w:rPr>
        <w:t xml:space="preserve">Épreuve orale de contrôle en SVT </w:t>
      </w:r>
      <w:r w:rsidRPr="001A5F8E">
        <w:rPr>
          <w:rStyle w:val="stitre"/>
          <w:rFonts w:ascii="Arial" w:hAnsi="Arial" w:cs="Arial"/>
          <w:b/>
          <w:bCs/>
          <w:sz w:val="28"/>
          <w:szCs w:val="28"/>
        </w:rPr>
        <w:t>spécialité</w:t>
      </w:r>
      <w:r w:rsidRPr="007A6E9A">
        <w:rPr>
          <w:rStyle w:val="stitre"/>
          <w:b/>
          <w:bCs/>
          <w:color w:val="FF0000"/>
        </w:rPr>
        <w:br/>
      </w:r>
      <w:r>
        <w:rPr>
          <w:rStyle w:val="stitre"/>
          <w:rFonts w:ascii="Arial" w:hAnsi="Arial" w:cs="Arial"/>
          <w:b/>
          <w:bCs/>
          <w:sz w:val="28"/>
          <w:szCs w:val="28"/>
        </w:rPr>
        <w:t>Sujet N°42</w:t>
      </w:r>
      <w:r>
        <w:rPr>
          <w:rStyle w:val="stitre"/>
          <w:rFonts w:ascii="Arial" w:hAnsi="Arial" w:cs="Arial"/>
          <w:b/>
          <w:bCs/>
          <w:sz w:val="32"/>
        </w:rPr>
        <w:t xml:space="preserve">                   </w:t>
      </w:r>
      <w:r>
        <w:rPr>
          <w:rFonts w:ascii="Arial" w:hAnsi="Arial" w:cs="Arial"/>
          <w:sz w:val="32"/>
        </w:rPr>
        <w:br/>
      </w:r>
      <w:r>
        <w:rPr>
          <w:rFonts w:ascii="Arial" w:hAnsi="Arial" w:cs="Arial"/>
          <w:sz w:val="28"/>
          <w:szCs w:val="28"/>
        </w:rPr>
        <w:t>Temps de préparation : 20 minutes</w:t>
      </w:r>
    </w:p>
    <w:p w:rsidR="00050E70" w:rsidRDefault="00050E70" w:rsidP="00050E7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sz w:val="28"/>
          <w:szCs w:val="28"/>
        </w:rPr>
        <w:t>Durée de présentation orale : 20 minutes</w:t>
      </w:r>
    </w:p>
    <w:p w:rsidR="00050E70" w:rsidRDefault="00050E70" w:rsidP="00050E70">
      <w:pPr>
        <w:jc w:val="both"/>
        <w:rPr>
          <w:rFonts w:ascii="Arial" w:hAnsi="Arial" w:cs="Arial"/>
        </w:rPr>
      </w:pPr>
      <w:r>
        <w:rPr>
          <w:rFonts w:ascii="Arial" w:hAnsi="Arial" w:cs="Arial"/>
          <w:sz w:val="32"/>
        </w:rPr>
        <w:br/>
      </w:r>
      <w:r>
        <w:rPr>
          <w:rFonts w:ascii="Arial" w:hAnsi="Arial" w:cs="Arial"/>
        </w:rPr>
        <w:t xml:space="preserve">Le candidat  traitera les </w:t>
      </w:r>
      <w:r>
        <w:rPr>
          <w:rFonts w:ascii="Arial" w:hAnsi="Arial" w:cs="Arial"/>
          <w:b/>
        </w:rPr>
        <w:t>deux questions.</w:t>
      </w:r>
      <w:r>
        <w:rPr>
          <w:rFonts w:ascii="Arial" w:hAnsi="Arial" w:cs="Arial"/>
        </w:rPr>
        <w:t xml:space="preserve"> Il est possible d’utiliser des feuilles de brouillon durant la préparation, mais la présentation se fera </w:t>
      </w:r>
      <w:r>
        <w:rPr>
          <w:rFonts w:ascii="Arial" w:hAnsi="Arial" w:cs="Arial"/>
          <w:b/>
        </w:rPr>
        <w:t>oralement</w:t>
      </w:r>
      <w:r>
        <w:rPr>
          <w:rFonts w:ascii="Arial" w:hAnsi="Arial" w:cs="Arial"/>
        </w:rPr>
        <w:t>.</w:t>
      </w:r>
    </w:p>
    <w:p w:rsidR="00050E70" w:rsidRDefault="00050E70" w:rsidP="00050E70">
      <w:pPr>
        <w:jc w:val="both"/>
        <w:rPr>
          <w:rFonts w:ascii="Arial" w:hAnsi="Arial" w:cs="Arial"/>
        </w:rPr>
      </w:pPr>
      <w:r>
        <w:rPr>
          <w:rFonts w:ascii="Arial" w:hAnsi="Arial" w:cs="Arial"/>
        </w:rPr>
        <w:t>L’examinateur posera des questions complémentaires durant les échanges.</w:t>
      </w:r>
    </w:p>
    <w:p w:rsidR="005F400C" w:rsidRDefault="00050E70" w:rsidP="005F400C">
      <w:pPr>
        <w:jc w:val="both"/>
        <w:rPr>
          <w:rFonts w:ascii="Arial" w:hAnsi="Arial" w:cs="Arial"/>
          <w:color w:val="0000FF"/>
        </w:rPr>
      </w:pPr>
      <w:r>
        <w:rPr>
          <w:rFonts w:ascii="Arial" w:hAnsi="Arial" w:cs="Arial"/>
        </w:rPr>
        <w:t xml:space="preserve">La note sur </w:t>
      </w:r>
      <w:r>
        <w:rPr>
          <w:rFonts w:ascii="Arial" w:hAnsi="Arial" w:cs="Arial"/>
          <w:b/>
        </w:rPr>
        <w:t>20 points</w:t>
      </w:r>
      <w:r>
        <w:rPr>
          <w:rFonts w:ascii="Arial" w:hAnsi="Arial" w:cs="Arial"/>
        </w:rPr>
        <w:t xml:space="preserve"> prendra en compte pour moitié  les </w:t>
      </w:r>
      <w:r>
        <w:rPr>
          <w:rFonts w:ascii="Arial" w:hAnsi="Arial" w:cs="Arial"/>
          <w:b/>
        </w:rPr>
        <w:t>connaissances</w:t>
      </w:r>
      <w:r>
        <w:rPr>
          <w:rFonts w:ascii="Arial" w:hAnsi="Arial" w:cs="Arial"/>
        </w:rPr>
        <w:t xml:space="preserve"> et pour moitié le </w:t>
      </w:r>
      <w:r>
        <w:rPr>
          <w:rFonts w:ascii="Arial" w:hAnsi="Arial" w:cs="Arial"/>
          <w:b/>
        </w:rPr>
        <w:t>raisonnement</w:t>
      </w:r>
      <w:r>
        <w:rPr>
          <w:rFonts w:ascii="Arial" w:hAnsi="Arial" w:cs="Arial"/>
        </w:rPr>
        <w:t xml:space="preserve"> à partir de </w:t>
      </w:r>
      <w:r>
        <w:rPr>
          <w:rFonts w:ascii="Arial" w:hAnsi="Arial" w:cs="Arial"/>
          <w:b/>
        </w:rPr>
        <w:t>l’exploitation des documents</w:t>
      </w:r>
      <w:r>
        <w:rPr>
          <w:rFonts w:ascii="Arial" w:hAnsi="Arial" w:cs="Arial"/>
        </w:rPr>
        <w:t xml:space="preserve">. </w:t>
      </w:r>
    </w:p>
    <w:p w:rsidR="005F400C" w:rsidRPr="005F400C" w:rsidRDefault="005F400C" w:rsidP="005F400C">
      <w:pPr>
        <w:jc w:val="both"/>
        <w:rPr>
          <w:rFonts w:ascii="Arial" w:hAnsi="Arial" w:cs="Arial"/>
          <w:color w:val="0000FF"/>
        </w:rPr>
      </w:pPr>
    </w:p>
    <w:p w:rsidR="00046BFD" w:rsidRPr="00F512B7" w:rsidRDefault="00046BFD" w:rsidP="00046BFD">
      <w:pPr>
        <w:spacing w:line="276" w:lineRule="auto"/>
        <w:rPr>
          <w:rFonts w:ascii="Arial" w:hAnsi="Arial" w:cs="Arial"/>
          <w:b/>
          <w:bCs/>
          <w:sz w:val="28"/>
          <w:szCs w:val="22"/>
          <w:u w:val="single"/>
          <w:lang w:eastAsia="en-US"/>
        </w:rPr>
      </w:pPr>
      <w:r w:rsidRPr="00F512B7">
        <w:rPr>
          <w:rFonts w:ascii="Arial" w:hAnsi="Arial" w:cs="Arial"/>
          <w:b/>
          <w:bCs/>
          <w:sz w:val="28"/>
          <w:szCs w:val="22"/>
          <w:u w:val="single"/>
          <w:lang w:eastAsia="en-US"/>
        </w:rPr>
        <w:t>Question 1 :</w:t>
      </w:r>
    </w:p>
    <w:p w:rsidR="00046BFD" w:rsidRPr="00D41E3D" w:rsidRDefault="00046BFD" w:rsidP="00046BFD">
      <w:pPr>
        <w:spacing w:after="160" w:line="259" w:lineRule="auto"/>
        <w:jc w:val="both"/>
        <w:rPr>
          <w:rFonts w:ascii="Arial" w:eastAsiaTheme="minorHAnsi" w:hAnsi="Arial" w:cs="Arial"/>
          <w:lang w:eastAsia="en-US"/>
        </w:rPr>
      </w:pPr>
      <w:r w:rsidRPr="00D41E3D">
        <w:rPr>
          <w:rFonts w:ascii="Arial" w:eastAsiaTheme="minorHAnsi" w:hAnsi="Arial" w:cs="Arial"/>
          <w:lang w:eastAsia="en-US"/>
        </w:rPr>
        <w:t>Les zones de subduction sont le siège d’un magmatisme. On s’intéresse à l’origine de ce magma.</w:t>
      </w:r>
    </w:p>
    <w:p w:rsidR="00046BFD" w:rsidRPr="006273F3" w:rsidRDefault="00046BFD" w:rsidP="00046BFD">
      <w:pPr>
        <w:spacing w:line="259" w:lineRule="auto"/>
        <w:jc w:val="both"/>
        <w:rPr>
          <w:rFonts w:ascii="Arial" w:eastAsiaTheme="minorHAnsi" w:hAnsi="Arial" w:cs="Arial"/>
          <w:szCs w:val="22"/>
          <w:u w:val="single"/>
          <w:lang w:eastAsia="en-US"/>
        </w:rPr>
      </w:pPr>
      <w:r w:rsidRPr="006273F3">
        <w:rPr>
          <w:rFonts w:ascii="Arial" w:eastAsiaTheme="minorHAnsi" w:hAnsi="Arial" w:cs="Arial"/>
          <w:szCs w:val="22"/>
          <w:u w:val="single"/>
          <w:lang w:eastAsia="en-US"/>
        </w:rPr>
        <w:t>Document 1</w:t>
      </w:r>
      <w:r w:rsidRPr="006273F3">
        <w:rPr>
          <w:rFonts w:ascii="Arial" w:eastAsiaTheme="minorHAnsi" w:hAnsi="Arial" w:cs="Arial"/>
          <w:szCs w:val="22"/>
          <w:lang w:eastAsia="en-US"/>
        </w:rPr>
        <w:t> : Isothermes dans une zone de subduction</w:t>
      </w:r>
    </w:p>
    <w:p w:rsidR="00046BFD" w:rsidRDefault="00046BFD" w:rsidP="00046BFD">
      <w:pPr>
        <w:spacing w:after="120" w:line="259" w:lineRule="auto"/>
        <w:jc w:val="center"/>
        <w:rPr>
          <w:rFonts w:asciiTheme="minorHAnsi" w:eastAsiaTheme="minorHAnsi" w:hAnsiTheme="minorHAnsi" w:cstheme="minorBidi"/>
          <w:sz w:val="22"/>
          <w:szCs w:val="22"/>
          <w:lang w:eastAsia="en-US"/>
        </w:rPr>
      </w:pPr>
      <w:r w:rsidRPr="00D76D08">
        <w:rPr>
          <w:rFonts w:eastAsiaTheme="minorHAnsi"/>
          <w:noProof/>
        </w:rPr>
        <w:drawing>
          <wp:inline distT="0" distB="0" distL="0" distR="0">
            <wp:extent cx="4679227" cy="3162300"/>
            <wp:effectExtent l="19050" t="0" r="7073"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79227" cy="3162300"/>
                    </a:xfrm>
                    <a:prstGeom prst="rect">
                      <a:avLst/>
                    </a:prstGeom>
                    <a:noFill/>
                    <a:ln w="9525">
                      <a:noFill/>
                      <a:miter lim="800000"/>
                      <a:headEnd/>
                      <a:tailEnd/>
                    </a:ln>
                  </pic:spPr>
                </pic:pic>
              </a:graphicData>
            </a:graphic>
          </wp:inline>
        </w:drawing>
      </w:r>
    </w:p>
    <w:p w:rsidR="00046BFD" w:rsidRPr="006273F3" w:rsidRDefault="00046BFD" w:rsidP="00046BFD">
      <w:pPr>
        <w:spacing w:after="160" w:line="259" w:lineRule="auto"/>
        <w:jc w:val="both"/>
        <w:rPr>
          <w:rFonts w:ascii="Arial" w:eastAsiaTheme="minorHAnsi" w:hAnsi="Arial" w:cs="Arial"/>
          <w:szCs w:val="22"/>
          <w:u w:val="single"/>
          <w:lang w:eastAsia="en-US"/>
        </w:rPr>
      </w:pPr>
      <w:r w:rsidRPr="006273F3">
        <w:rPr>
          <w:rFonts w:ascii="Arial" w:eastAsiaTheme="minorHAnsi" w:hAnsi="Arial" w:cs="Arial"/>
          <w:szCs w:val="22"/>
          <w:u w:val="single"/>
          <w:lang w:eastAsia="en-US"/>
        </w:rPr>
        <w:t>Document 2</w:t>
      </w:r>
      <w:r w:rsidRPr="006273F3">
        <w:rPr>
          <w:rFonts w:ascii="Arial" w:eastAsiaTheme="minorHAnsi" w:hAnsi="Arial" w:cs="Arial"/>
          <w:szCs w:val="22"/>
          <w:lang w:eastAsia="en-US"/>
        </w:rPr>
        <w:t xml:space="preserve"> : Conditions de fusion de la péridotite du manteau et du basalte de </w:t>
      </w:r>
      <w:r>
        <w:rPr>
          <w:rFonts w:ascii="Arial" w:eastAsiaTheme="minorHAnsi" w:hAnsi="Arial" w:cs="Arial"/>
          <w:szCs w:val="22"/>
          <w:lang w:eastAsia="en-US"/>
        </w:rPr>
        <w:t>la croû</w:t>
      </w:r>
      <w:r w:rsidRPr="006273F3">
        <w:rPr>
          <w:rFonts w:ascii="Arial" w:eastAsiaTheme="minorHAnsi" w:hAnsi="Arial" w:cs="Arial"/>
          <w:szCs w:val="22"/>
          <w:lang w:eastAsia="en-US"/>
        </w:rPr>
        <w:t>te océanique</w:t>
      </w:r>
    </w:p>
    <w:p w:rsidR="00046BFD" w:rsidRPr="005F400C" w:rsidRDefault="00046BFD" w:rsidP="00046BFD">
      <w:pPr>
        <w:spacing w:after="160" w:line="259" w:lineRule="auto"/>
        <w:jc w:val="center"/>
        <w:rPr>
          <w:rFonts w:asciiTheme="minorHAnsi" w:eastAsiaTheme="minorHAnsi" w:hAnsiTheme="minorHAnsi" w:cstheme="minorBidi"/>
          <w:sz w:val="22"/>
          <w:szCs w:val="22"/>
          <w:lang w:eastAsia="en-US"/>
        </w:rPr>
      </w:pPr>
      <w:r w:rsidRPr="006273F3">
        <w:rPr>
          <w:rFonts w:eastAsiaTheme="minorHAnsi"/>
          <w:noProof/>
        </w:rPr>
        <w:drawing>
          <wp:inline distT="0" distB="0" distL="0" distR="0">
            <wp:extent cx="6522683" cy="2676525"/>
            <wp:effectExtent l="19050" t="0" r="0"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6529722" cy="2679413"/>
                    </a:xfrm>
                    <a:prstGeom prst="rect">
                      <a:avLst/>
                    </a:prstGeom>
                    <a:noFill/>
                    <a:ln w="9525">
                      <a:noFill/>
                      <a:miter lim="800000"/>
                      <a:headEnd/>
                      <a:tailEnd/>
                    </a:ln>
                  </pic:spPr>
                </pic:pic>
              </a:graphicData>
            </a:graphic>
          </wp:inline>
        </w:drawing>
      </w:r>
    </w:p>
    <w:p w:rsidR="00046BFD" w:rsidRDefault="00046BFD" w:rsidP="00046BFD">
      <w:pPr>
        <w:jc w:val="both"/>
        <w:rPr>
          <w:rFonts w:ascii="Arial" w:hAnsi="Arial" w:cs="Arial"/>
          <w:b/>
        </w:rPr>
      </w:pPr>
      <w:r w:rsidRPr="005F400C">
        <w:rPr>
          <w:rFonts w:ascii="Arial" w:hAnsi="Arial" w:cs="Arial"/>
          <w:b/>
        </w:rPr>
        <w:t>En vous appuyant sur une analyse rigoureuse des deux documents, déterminez l’origine du magma dans une zone de subduction</w:t>
      </w:r>
      <w:r>
        <w:rPr>
          <w:rFonts w:ascii="Arial" w:hAnsi="Arial" w:cs="Arial"/>
          <w:b/>
        </w:rPr>
        <w:t xml:space="preserve">. </w:t>
      </w:r>
    </w:p>
    <w:p w:rsidR="00D672DB" w:rsidRDefault="00D672DB" w:rsidP="00D672DB">
      <w:pPr>
        <w:jc w:val="both"/>
        <w:rPr>
          <w:rFonts w:ascii="Arial" w:hAnsi="Arial" w:cs="Arial"/>
          <w:b/>
          <w:sz w:val="28"/>
          <w:u w:val="single"/>
        </w:rPr>
      </w:pPr>
      <w:r>
        <w:rPr>
          <w:rFonts w:ascii="Arial" w:hAnsi="Arial" w:cs="Arial"/>
          <w:b/>
          <w:sz w:val="28"/>
          <w:u w:val="single"/>
        </w:rPr>
        <w:lastRenderedPageBreak/>
        <w:t>Question 2 :</w:t>
      </w:r>
    </w:p>
    <w:p w:rsidR="00D672DB" w:rsidRDefault="00D672DB" w:rsidP="00D672DB">
      <w:pPr>
        <w:rPr>
          <w:rFonts w:ascii="Arial" w:eastAsia="Arial" w:hAnsi="Arial"/>
          <w:szCs w:val="22"/>
          <w:u w:val="single"/>
          <w:lang w:eastAsia="en-US"/>
        </w:rPr>
      </w:pPr>
    </w:p>
    <w:p w:rsidR="00D672DB" w:rsidRPr="00D672DB" w:rsidRDefault="00D672DB" w:rsidP="00D672DB">
      <w:pPr>
        <w:jc w:val="both"/>
        <w:rPr>
          <w:rFonts w:ascii="Arial" w:eastAsia="Arial" w:hAnsi="Arial"/>
          <w:sz w:val="22"/>
          <w:szCs w:val="22"/>
          <w:lang w:eastAsia="en-US"/>
        </w:rPr>
      </w:pPr>
      <w:r w:rsidRPr="00D672DB">
        <w:rPr>
          <w:rFonts w:ascii="Arial" w:eastAsia="Arial" w:hAnsi="Arial"/>
          <w:sz w:val="22"/>
          <w:szCs w:val="22"/>
          <w:u w:val="single"/>
          <w:lang w:eastAsia="en-US"/>
        </w:rPr>
        <w:t>Document 1</w:t>
      </w:r>
      <w:r w:rsidRPr="00D672DB">
        <w:rPr>
          <w:rFonts w:ascii="Arial" w:eastAsia="Arial" w:hAnsi="Arial"/>
          <w:sz w:val="22"/>
          <w:szCs w:val="22"/>
          <w:lang w:eastAsia="en-US"/>
        </w:rPr>
        <w:t> : Etude du caractère « familial » des deux grands types de diabète</w:t>
      </w:r>
    </w:p>
    <w:p w:rsidR="00D672DB" w:rsidRPr="00046BFD" w:rsidRDefault="00D672DB" w:rsidP="00D672DB">
      <w:pPr>
        <w:jc w:val="both"/>
        <w:rPr>
          <w:rFonts w:ascii="Arial" w:eastAsia="Arial" w:hAnsi="Arial"/>
          <w:sz w:val="12"/>
          <w:szCs w:val="22"/>
          <w:lang w:eastAsia="en-US"/>
        </w:rPr>
      </w:pPr>
    </w:p>
    <w:tbl>
      <w:tblPr>
        <w:tblStyle w:val="Grilledutableau"/>
        <w:tblW w:w="0" w:type="auto"/>
        <w:jc w:val="center"/>
        <w:tblLook w:val="04A0"/>
      </w:tblPr>
      <w:tblGrid>
        <w:gridCol w:w="5417"/>
        <w:gridCol w:w="4189"/>
      </w:tblGrid>
      <w:tr w:rsidR="00D672DB" w:rsidRPr="00872B66" w:rsidTr="004A76D0">
        <w:trPr>
          <w:jc w:val="center"/>
        </w:trPr>
        <w:tc>
          <w:tcPr>
            <w:tcW w:w="5417" w:type="dxa"/>
          </w:tcPr>
          <w:p w:rsidR="00D672DB" w:rsidRPr="00872B66" w:rsidRDefault="00D672DB" w:rsidP="00BD42E0">
            <w:pPr>
              <w:jc w:val="center"/>
              <w:rPr>
                <w:rFonts w:ascii="Arial" w:eastAsia="Arial" w:hAnsi="Arial"/>
                <w:b/>
                <w:sz w:val="20"/>
                <w:lang w:eastAsia="en-US"/>
              </w:rPr>
            </w:pPr>
            <w:r w:rsidRPr="00872B66">
              <w:rPr>
                <w:rFonts w:ascii="Arial" w:eastAsia="Arial" w:hAnsi="Arial"/>
                <w:b/>
                <w:sz w:val="20"/>
                <w:lang w:eastAsia="en-US"/>
              </w:rPr>
              <w:t xml:space="preserve">Lien de parenté avec un sujet atteint </w:t>
            </w:r>
          </w:p>
          <w:p w:rsidR="00D672DB" w:rsidRPr="00872B66" w:rsidRDefault="00D672DB" w:rsidP="00BD42E0">
            <w:pPr>
              <w:jc w:val="center"/>
              <w:rPr>
                <w:rFonts w:ascii="Arial" w:eastAsia="Arial" w:hAnsi="Arial"/>
                <w:b/>
                <w:sz w:val="20"/>
                <w:lang w:eastAsia="en-US"/>
              </w:rPr>
            </w:pPr>
            <w:r w:rsidRPr="00872B66">
              <w:rPr>
                <w:rFonts w:ascii="Arial" w:eastAsia="Arial" w:hAnsi="Arial"/>
                <w:b/>
                <w:sz w:val="20"/>
                <w:lang w:eastAsia="en-US"/>
              </w:rPr>
              <w:t>de diabète de type 1</w:t>
            </w:r>
          </w:p>
        </w:tc>
        <w:tc>
          <w:tcPr>
            <w:tcW w:w="4189" w:type="dxa"/>
          </w:tcPr>
          <w:p w:rsidR="00D672DB" w:rsidRPr="00872B66" w:rsidRDefault="00D672DB" w:rsidP="00BD42E0">
            <w:pPr>
              <w:jc w:val="center"/>
              <w:rPr>
                <w:rFonts w:ascii="Arial" w:eastAsia="Arial" w:hAnsi="Arial"/>
                <w:b/>
                <w:sz w:val="20"/>
                <w:lang w:eastAsia="en-US"/>
              </w:rPr>
            </w:pPr>
            <w:r w:rsidRPr="00872B66">
              <w:rPr>
                <w:rFonts w:ascii="Arial" w:eastAsia="Arial" w:hAnsi="Arial"/>
                <w:b/>
                <w:sz w:val="20"/>
                <w:lang w:eastAsia="en-US"/>
              </w:rPr>
              <w:t xml:space="preserve">Risque d’être soi-même atteint </w:t>
            </w:r>
          </w:p>
          <w:p w:rsidR="00D672DB" w:rsidRPr="00872B66" w:rsidRDefault="00D672DB" w:rsidP="00BD42E0">
            <w:pPr>
              <w:jc w:val="center"/>
              <w:rPr>
                <w:rFonts w:ascii="Arial" w:eastAsia="Arial" w:hAnsi="Arial"/>
                <w:b/>
                <w:sz w:val="20"/>
                <w:lang w:eastAsia="en-US"/>
              </w:rPr>
            </w:pPr>
            <w:r w:rsidRPr="00872B66">
              <w:rPr>
                <w:rFonts w:ascii="Arial" w:eastAsia="Arial" w:hAnsi="Arial"/>
                <w:b/>
                <w:sz w:val="20"/>
                <w:lang w:eastAsia="en-US"/>
              </w:rPr>
              <w:t>d’un diabète de type 1</w:t>
            </w:r>
          </w:p>
        </w:tc>
      </w:tr>
      <w:tr w:rsidR="00D672DB" w:rsidRPr="00872B66" w:rsidTr="004A76D0">
        <w:trPr>
          <w:jc w:val="center"/>
        </w:trPr>
        <w:tc>
          <w:tcPr>
            <w:tcW w:w="5417" w:type="dxa"/>
          </w:tcPr>
          <w:p w:rsidR="00D672DB" w:rsidRPr="00872B66" w:rsidRDefault="00D672DB" w:rsidP="00BD42E0">
            <w:pPr>
              <w:jc w:val="both"/>
              <w:rPr>
                <w:rFonts w:ascii="Arial" w:eastAsia="Arial" w:hAnsi="Arial"/>
                <w:sz w:val="20"/>
                <w:lang w:eastAsia="en-US"/>
              </w:rPr>
            </w:pPr>
            <w:r w:rsidRPr="00872B66">
              <w:rPr>
                <w:rFonts w:ascii="Arial" w:eastAsia="Arial" w:hAnsi="Arial"/>
                <w:sz w:val="20"/>
                <w:lang w:eastAsia="en-US"/>
              </w:rPr>
              <w:t>Jumeau vrai (garçon ou fille)</w:t>
            </w:r>
          </w:p>
        </w:tc>
        <w:tc>
          <w:tcPr>
            <w:tcW w:w="4189" w:type="dxa"/>
          </w:tcPr>
          <w:p w:rsidR="00D672DB" w:rsidRPr="00872B66" w:rsidRDefault="00D672DB" w:rsidP="00BD42E0">
            <w:pPr>
              <w:jc w:val="center"/>
              <w:rPr>
                <w:rFonts w:ascii="Arial" w:eastAsia="Arial" w:hAnsi="Arial"/>
                <w:sz w:val="20"/>
                <w:lang w:eastAsia="en-US"/>
              </w:rPr>
            </w:pPr>
            <w:r w:rsidRPr="00872B66">
              <w:rPr>
                <w:rFonts w:ascii="Arial" w:eastAsia="Arial" w:hAnsi="Arial"/>
                <w:sz w:val="20"/>
                <w:lang w:eastAsia="en-US"/>
              </w:rPr>
              <w:t>40 à 50%</w:t>
            </w:r>
          </w:p>
        </w:tc>
      </w:tr>
      <w:tr w:rsidR="00D672DB" w:rsidRPr="00872B66" w:rsidTr="004A76D0">
        <w:trPr>
          <w:jc w:val="center"/>
        </w:trPr>
        <w:tc>
          <w:tcPr>
            <w:tcW w:w="5417" w:type="dxa"/>
          </w:tcPr>
          <w:p w:rsidR="00D672DB" w:rsidRPr="00872B66" w:rsidRDefault="00D672DB" w:rsidP="00BD42E0">
            <w:pPr>
              <w:jc w:val="both"/>
              <w:rPr>
                <w:rFonts w:ascii="Arial" w:eastAsia="Arial" w:hAnsi="Arial"/>
                <w:sz w:val="20"/>
                <w:lang w:eastAsia="en-US"/>
              </w:rPr>
            </w:pPr>
            <w:r w:rsidRPr="00872B66">
              <w:rPr>
                <w:rFonts w:ascii="Arial" w:eastAsia="Arial" w:hAnsi="Arial"/>
                <w:sz w:val="20"/>
                <w:lang w:eastAsia="en-US"/>
              </w:rPr>
              <w:t xml:space="preserve">Frère ou sœur </w:t>
            </w:r>
          </w:p>
        </w:tc>
        <w:tc>
          <w:tcPr>
            <w:tcW w:w="4189" w:type="dxa"/>
          </w:tcPr>
          <w:p w:rsidR="00D672DB" w:rsidRPr="00872B66" w:rsidRDefault="00D672DB" w:rsidP="00BD42E0">
            <w:pPr>
              <w:jc w:val="center"/>
              <w:rPr>
                <w:rFonts w:ascii="Arial" w:eastAsia="Arial" w:hAnsi="Arial"/>
                <w:sz w:val="20"/>
                <w:lang w:eastAsia="en-US"/>
              </w:rPr>
            </w:pPr>
            <w:r w:rsidRPr="00872B66">
              <w:rPr>
                <w:rFonts w:ascii="Arial" w:eastAsia="Arial" w:hAnsi="Arial"/>
                <w:sz w:val="20"/>
                <w:lang w:eastAsia="en-US"/>
              </w:rPr>
              <w:t>5 à 10%</w:t>
            </w:r>
          </w:p>
        </w:tc>
      </w:tr>
      <w:tr w:rsidR="00D672DB" w:rsidRPr="00872B66" w:rsidTr="004A76D0">
        <w:trPr>
          <w:jc w:val="center"/>
        </w:trPr>
        <w:tc>
          <w:tcPr>
            <w:tcW w:w="5417" w:type="dxa"/>
          </w:tcPr>
          <w:p w:rsidR="00D672DB" w:rsidRPr="00872B66" w:rsidRDefault="00D672DB" w:rsidP="00BD42E0">
            <w:pPr>
              <w:jc w:val="both"/>
              <w:rPr>
                <w:rFonts w:ascii="Arial" w:eastAsia="Arial" w:hAnsi="Arial"/>
                <w:sz w:val="20"/>
                <w:lang w:eastAsia="en-US"/>
              </w:rPr>
            </w:pPr>
            <w:r w:rsidRPr="00872B66">
              <w:rPr>
                <w:rFonts w:ascii="Arial" w:eastAsia="Arial" w:hAnsi="Arial"/>
                <w:sz w:val="20"/>
                <w:lang w:eastAsia="en-US"/>
              </w:rPr>
              <w:t xml:space="preserve">Père atteint de </w:t>
            </w:r>
            <w:r w:rsidR="00046BFD" w:rsidRPr="00872B66">
              <w:rPr>
                <w:rFonts w:ascii="Arial" w:eastAsia="Arial" w:hAnsi="Arial"/>
                <w:sz w:val="20"/>
                <w:lang w:eastAsia="en-US"/>
              </w:rPr>
              <w:t>diabète de type 1</w:t>
            </w:r>
          </w:p>
        </w:tc>
        <w:tc>
          <w:tcPr>
            <w:tcW w:w="4189" w:type="dxa"/>
          </w:tcPr>
          <w:p w:rsidR="00D672DB" w:rsidRPr="00872B66" w:rsidRDefault="00D672DB" w:rsidP="00BD42E0">
            <w:pPr>
              <w:jc w:val="center"/>
              <w:rPr>
                <w:rFonts w:ascii="Arial" w:eastAsia="Arial" w:hAnsi="Arial"/>
                <w:sz w:val="20"/>
                <w:lang w:eastAsia="en-US"/>
              </w:rPr>
            </w:pPr>
            <w:r w:rsidRPr="00872B66">
              <w:rPr>
                <w:rFonts w:ascii="Arial" w:eastAsia="Arial" w:hAnsi="Arial"/>
                <w:sz w:val="20"/>
                <w:lang w:eastAsia="en-US"/>
              </w:rPr>
              <w:t>4 à 5%</w:t>
            </w:r>
          </w:p>
        </w:tc>
      </w:tr>
      <w:tr w:rsidR="00D672DB" w:rsidRPr="00872B66" w:rsidTr="004A76D0">
        <w:trPr>
          <w:jc w:val="center"/>
        </w:trPr>
        <w:tc>
          <w:tcPr>
            <w:tcW w:w="5417" w:type="dxa"/>
          </w:tcPr>
          <w:p w:rsidR="00D672DB" w:rsidRPr="00872B66" w:rsidRDefault="00D672DB" w:rsidP="00BD42E0">
            <w:pPr>
              <w:jc w:val="both"/>
              <w:rPr>
                <w:rFonts w:ascii="Arial" w:eastAsia="Arial" w:hAnsi="Arial"/>
                <w:sz w:val="20"/>
                <w:lang w:eastAsia="en-US"/>
              </w:rPr>
            </w:pPr>
            <w:r w:rsidRPr="00872B66">
              <w:rPr>
                <w:rFonts w:ascii="Arial" w:eastAsia="Arial" w:hAnsi="Arial"/>
                <w:sz w:val="20"/>
                <w:lang w:eastAsia="en-US"/>
              </w:rPr>
              <w:t xml:space="preserve">Mère atteinte de </w:t>
            </w:r>
            <w:r w:rsidR="00046BFD" w:rsidRPr="00872B66">
              <w:rPr>
                <w:rFonts w:ascii="Arial" w:eastAsia="Arial" w:hAnsi="Arial"/>
                <w:sz w:val="20"/>
                <w:lang w:eastAsia="en-US"/>
              </w:rPr>
              <w:t>diabète de type 1</w:t>
            </w:r>
          </w:p>
        </w:tc>
        <w:tc>
          <w:tcPr>
            <w:tcW w:w="4189" w:type="dxa"/>
          </w:tcPr>
          <w:p w:rsidR="00D672DB" w:rsidRPr="00872B66" w:rsidRDefault="00D672DB" w:rsidP="00BD42E0">
            <w:pPr>
              <w:jc w:val="center"/>
              <w:rPr>
                <w:rFonts w:ascii="Arial" w:eastAsia="Arial" w:hAnsi="Arial"/>
                <w:sz w:val="20"/>
                <w:lang w:eastAsia="en-US"/>
              </w:rPr>
            </w:pPr>
            <w:r w:rsidRPr="00872B66">
              <w:rPr>
                <w:rFonts w:ascii="Arial" w:eastAsia="Arial" w:hAnsi="Arial"/>
                <w:sz w:val="20"/>
                <w:lang w:eastAsia="en-US"/>
              </w:rPr>
              <w:t>2 à 3%</w:t>
            </w:r>
          </w:p>
        </w:tc>
      </w:tr>
      <w:tr w:rsidR="00D672DB" w:rsidRPr="00872B66" w:rsidTr="004A76D0">
        <w:trPr>
          <w:jc w:val="center"/>
        </w:trPr>
        <w:tc>
          <w:tcPr>
            <w:tcW w:w="5417" w:type="dxa"/>
          </w:tcPr>
          <w:p w:rsidR="00D672DB" w:rsidRPr="00872B66" w:rsidRDefault="00D672DB" w:rsidP="00BD42E0">
            <w:pPr>
              <w:jc w:val="both"/>
              <w:rPr>
                <w:rFonts w:ascii="Arial" w:eastAsia="Arial" w:hAnsi="Arial"/>
                <w:sz w:val="20"/>
                <w:lang w:eastAsia="en-US"/>
              </w:rPr>
            </w:pPr>
            <w:r w:rsidRPr="00872B66">
              <w:rPr>
                <w:rFonts w:ascii="Arial" w:eastAsia="Arial" w:hAnsi="Arial"/>
                <w:sz w:val="20"/>
                <w:lang w:eastAsia="en-US"/>
              </w:rPr>
              <w:t xml:space="preserve">Pas de </w:t>
            </w:r>
            <w:r w:rsidR="00046BFD" w:rsidRPr="00872B66">
              <w:rPr>
                <w:rFonts w:ascii="Arial" w:eastAsia="Arial" w:hAnsi="Arial"/>
                <w:sz w:val="20"/>
                <w:lang w:eastAsia="en-US"/>
              </w:rPr>
              <w:t xml:space="preserve">diabète de type 1 </w:t>
            </w:r>
            <w:r w:rsidRPr="00872B66">
              <w:rPr>
                <w:rFonts w:ascii="Arial" w:eastAsia="Arial" w:hAnsi="Arial"/>
                <w:sz w:val="20"/>
                <w:lang w:eastAsia="en-US"/>
              </w:rPr>
              <w:t>connu dans la famille</w:t>
            </w:r>
          </w:p>
        </w:tc>
        <w:tc>
          <w:tcPr>
            <w:tcW w:w="4189" w:type="dxa"/>
          </w:tcPr>
          <w:p w:rsidR="00D672DB" w:rsidRPr="00872B66" w:rsidRDefault="00D672DB" w:rsidP="00BD42E0">
            <w:pPr>
              <w:jc w:val="center"/>
              <w:rPr>
                <w:rFonts w:ascii="Arial" w:eastAsia="Arial" w:hAnsi="Arial"/>
                <w:sz w:val="20"/>
                <w:lang w:eastAsia="en-US"/>
              </w:rPr>
            </w:pPr>
            <w:r w:rsidRPr="00872B66">
              <w:rPr>
                <w:rFonts w:ascii="Arial" w:eastAsia="Arial" w:hAnsi="Arial"/>
                <w:sz w:val="20"/>
                <w:lang w:eastAsia="en-US"/>
              </w:rPr>
              <w:t>0,2%</w:t>
            </w:r>
          </w:p>
        </w:tc>
      </w:tr>
    </w:tbl>
    <w:p w:rsidR="00D672DB" w:rsidRPr="00872B66" w:rsidRDefault="00D672DB" w:rsidP="00D672DB">
      <w:pPr>
        <w:jc w:val="both"/>
        <w:rPr>
          <w:rFonts w:ascii="Arial" w:eastAsia="Arial" w:hAnsi="Arial"/>
          <w:sz w:val="22"/>
          <w:szCs w:val="22"/>
          <w:lang w:eastAsia="en-US"/>
        </w:rPr>
      </w:pPr>
    </w:p>
    <w:tbl>
      <w:tblPr>
        <w:tblStyle w:val="Grilledutableau"/>
        <w:tblW w:w="0" w:type="auto"/>
        <w:jc w:val="center"/>
        <w:tblLook w:val="04A0"/>
      </w:tblPr>
      <w:tblGrid>
        <w:gridCol w:w="5416"/>
        <w:gridCol w:w="4190"/>
      </w:tblGrid>
      <w:tr w:rsidR="00D672DB" w:rsidRPr="00872B66" w:rsidTr="004A76D0">
        <w:trPr>
          <w:jc w:val="center"/>
        </w:trPr>
        <w:tc>
          <w:tcPr>
            <w:tcW w:w="5416" w:type="dxa"/>
          </w:tcPr>
          <w:p w:rsidR="00D672DB" w:rsidRPr="00872B66" w:rsidRDefault="00D672DB" w:rsidP="00BD42E0">
            <w:pPr>
              <w:jc w:val="center"/>
              <w:rPr>
                <w:rFonts w:ascii="Arial" w:eastAsia="Arial" w:hAnsi="Arial"/>
                <w:b/>
                <w:sz w:val="20"/>
                <w:lang w:eastAsia="en-US"/>
              </w:rPr>
            </w:pPr>
            <w:r w:rsidRPr="00872B66">
              <w:rPr>
                <w:rFonts w:ascii="Arial" w:eastAsia="Arial" w:hAnsi="Arial"/>
                <w:b/>
                <w:sz w:val="20"/>
                <w:lang w:eastAsia="en-US"/>
              </w:rPr>
              <w:t xml:space="preserve">Lien de parenté avec un sujet atteint </w:t>
            </w:r>
          </w:p>
          <w:p w:rsidR="00D672DB" w:rsidRPr="00872B66" w:rsidRDefault="00D672DB" w:rsidP="00BD42E0">
            <w:pPr>
              <w:jc w:val="center"/>
              <w:rPr>
                <w:rFonts w:ascii="Arial" w:eastAsia="Arial" w:hAnsi="Arial"/>
                <w:b/>
                <w:sz w:val="20"/>
                <w:lang w:eastAsia="en-US"/>
              </w:rPr>
            </w:pPr>
            <w:r w:rsidRPr="00872B66">
              <w:rPr>
                <w:rFonts w:ascii="Arial" w:eastAsia="Arial" w:hAnsi="Arial"/>
                <w:b/>
                <w:sz w:val="20"/>
                <w:lang w:eastAsia="en-US"/>
              </w:rPr>
              <w:t>de diabète de type 2</w:t>
            </w:r>
          </w:p>
        </w:tc>
        <w:tc>
          <w:tcPr>
            <w:tcW w:w="4190" w:type="dxa"/>
          </w:tcPr>
          <w:p w:rsidR="00D672DB" w:rsidRPr="00872B66" w:rsidRDefault="00D672DB" w:rsidP="00BD42E0">
            <w:pPr>
              <w:jc w:val="center"/>
              <w:rPr>
                <w:rFonts w:ascii="Arial" w:eastAsia="Arial" w:hAnsi="Arial"/>
                <w:b/>
                <w:sz w:val="20"/>
                <w:lang w:eastAsia="en-US"/>
              </w:rPr>
            </w:pPr>
            <w:r w:rsidRPr="00872B66">
              <w:rPr>
                <w:rFonts w:ascii="Arial" w:eastAsia="Arial" w:hAnsi="Arial"/>
                <w:b/>
                <w:sz w:val="20"/>
                <w:lang w:eastAsia="en-US"/>
              </w:rPr>
              <w:t xml:space="preserve">Risque d’être soi-même atteint </w:t>
            </w:r>
          </w:p>
          <w:p w:rsidR="00D672DB" w:rsidRPr="00872B66" w:rsidRDefault="00D672DB" w:rsidP="00BD42E0">
            <w:pPr>
              <w:jc w:val="center"/>
              <w:rPr>
                <w:rFonts w:ascii="Arial" w:eastAsia="Arial" w:hAnsi="Arial"/>
                <w:b/>
                <w:sz w:val="20"/>
                <w:lang w:eastAsia="en-US"/>
              </w:rPr>
            </w:pPr>
            <w:r w:rsidRPr="00872B66">
              <w:rPr>
                <w:rFonts w:ascii="Arial" w:eastAsia="Arial" w:hAnsi="Arial"/>
                <w:b/>
                <w:sz w:val="20"/>
                <w:lang w:eastAsia="en-US"/>
              </w:rPr>
              <w:t>d’un diabète de type 2</w:t>
            </w:r>
          </w:p>
        </w:tc>
      </w:tr>
      <w:tr w:rsidR="00D672DB" w:rsidRPr="00872B66" w:rsidTr="004A76D0">
        <w:trPr>
          <w:jc w:val="center"/>
        </w:trPr>
        <w:tc>
          <w:tcPr>
            <w:tcW w:w="5416" w:type="dxa"/>
          </w:tcPr>
          <w:p w:rsidR="00D672DB" w:rsidRPr="00872B66" w:rsidRDefault="00D672DB" w:rsidP="00BD42E0">
            <w:pPr>
              <w:jc w:val="both"/>
              <w:rPr>
                <w:rFonts w:ascii="Arial" w:eastAsia="Arial" w:hAnsi="Arial"/>
                <w:sz w:val="20"/>
                <w:lang w:eastAsia="en-US"/>
              </w:rPr>
            </w:pPr>
            <w:r w:rsidRPr="00872B66">
              <w:rPr>
                <w:rFonts w:ascii="Arial" w:eastAsia="Arial" w:hAnsi="Arial"/>
                <w:sz w:val="20"/>
                <w:lang w:eastAsia="en-US"/>
              </w:rPr>
              <w:t>Jumeau vrai (garçon ou fille)</w:t>
            </w:r>
          </w:p>
        </w:tc>
        <w:tc>
          <w:tcPr>
            <w:tcW w:w="4190" w:type="dxa"/>
          </w:tcPr>
          <w:p w:rsidR="00D672DB" w:rsidRPr="00872B66" w:rsidRDefault="00D672DB" w:rsidP="00BD42E0">
            <w:pPr>
              <w:jc w:val="center"/>
              <w:rPr>
                <w:rFonts w:ascii="Arial" w:eastAsia="Arial" w:hAnsi="Arial"/>
                <w:sz w:val="20"/>
                <w:lang w:eastAsia="en-US"/>
              </w:rPr>
            </w:pPr>
            <w:r w:rsidRPr="00872B66">
              <w:rPr>
                <w:rFonts w:ascii="Arial" w:eastAsia="Arial" w:hAnsi="Arial"/>
                <w:sz w:val="20"/>
                <w:lang w:eastAsia="en-US"/>
              </w:rPr>
              <w:t>90 à 100%</w:t>
            </w:r>
          </w:p>
        </w:tc>
      </w:tr>
      <w:tr w:rsidR="00D672DB" w:rsidRPr="00872B66" w:rsidTr="004A76D0">
        <w:trPr>
          <w:jc w:val="center"/>
        </w:trPr>
        <w:tc>
          <w:tcPr>
            <w:tcW w:w="5416" w:type="dxa"/>
          </w:tcPr>
          <w:p w:rsidR="00D672DB" w:rsidRPr="00872B66" w:rsidRDefault="00D672DB" w:rsidP="00BD42E0">
            <w:pPr>
              <w:jc w:val="both"/>
              <w:rPr>
                <w:rFonts w:ascii="Arial" w:eastAsia="Arial" w:hAnsi="Arial"/>
                <w:sz w:val="20"/>
                <w:lang w:eastAsia="en-US"/>
              </w:rPr>
            </w:pPr>
            <w:r w:rsidRPr="00872B66">
              <w:rPr>
                <w:rFonts w:ascii="Arial" w:eastAsia="Arial" w:hAnsi="Arial"/>
                <w:sz w:val="20"/>
                <w:lang w:eastAsia="en-US"/>
              </w:rPr>
              <w:t xml:space="preserve">Frère ou sœur </w:t>
            </w:r>
          </w:p>
        </w:tc>
        <w:tc>
          <w:tcPr>
            <w:tcW w:w="4190" w:type="dxa"/>
          </w:tcPr>
          <w:p w:rsidR="00D672DB" w:rsidRPr="00872B66" w:rsidRDefault="00D672DB" w:rsidP="00BD42E0">
            <w:pPr>
              <w:jc w:val="center"/>
              <w:rPr>
                <w:rFonts w:ascii="Arial" w:eastAsia="Arial" w:hAnsi="Arial"/>
                <w:sz w:val="20"/>
                <w:lang w:eastAsia="en-US"/>
              </w:rPr>
            </w:pPr>
            <w:r w:rsidRPr="00872B66">
              <w:rPr>
                <w:rFonts w:ascii="Arial" w:eastAsia="Arial" w:hAnsi="Arial"/>
                <w:sz w:val="20"/>
                <w:lang w:eastAsia="en-US"/>
              </w:rPr>
              <w:t>Supérieur à 40%</w:t>
            </w:r>
          </w:p>
        </w:tc>
      </w:tr>
      <w:tr w:rsidR="00D672DB" w:rsidRPr="00872B66" w:rsidTr="004A76D0">
        <w:trPr>
          <w:jc w:val="center"/>
        </w:trPr>
        <w:tc>
          <w:tcPr>
            <w:tcW w:w="5416" w:type="dxa"/>
          </w:tcPr>
          <w:p w:rsidR="00D672DB" w:rsidRPr="00872B66" w:rsidRDefault="00046BFD" w:rsidP="00BD42E0">
            <w:pPr>
              <w:jc w:val="both"/>
              <w:rPr>
                <w:rFonts w:ascii="Arial" w:eastAsia="Arial" w:hAnsi="Arial"/>
                <w:sz w:val="20"/>
                <w:lang w:eastAsia="en-US"/>
              </w:rPr>
            </w:pPr>
            <w:r w:rsidRPr="00872B66">
              <w:rPr>
                <w:rFonts w:ascii="Arial" w:eastAsia="Arial" w:hAnsi="Arial"/>
                <w:sz w:val="20"/>
                <w:lang w:eastAsia="en-US"/>
              </w:rPr>
              <w:t>Pas de diabète de type 2</w:t>
            </w:r>
            <w:r w:rsidR="00D672DB" w:rsidRPr="00872B66">
              <w:rPr>
                <w:rFonts w:ascii="Arial" w:eastAsia="Arial" w:hAnsi="Arial"/>
                <w:sz w:val="20"/>
                <w:lang w:eastAsia="en-US"/>
              </w:rPr>
              <w:t xml:space="preserve"> connu dans la famille</w:t>
            </w:r>
          </w:p>
        </w:tc>
        <w:tc>
          <w:tcPr>
            <w:tcW w:w="4190" w:type="dxa"/>
          </w:tcPr>
          <w:p w:rsidR="00D672DB" w:rsidRPr="00872B66" w:rsidRDefault="00D672DB" w:rsidP="00BD42E0">
            <w:pPr>
              <w:jc w:val="center"/>
              <w:rPr>
                <w:rFonts w:ascii="Arial" w:eastAsia="Arial" w:hAnsi="Arial"/>
                <w:sz w:val="20"/>
                <w:lang w:eastAsia="en-US"/>
              </w:rPr>
            </w:pPr>
            <w:r w:rsidRPr="00872B66">
              <w:rPr>
                <w:rFonts w:ascii="Arial" w:eastAsia="Arial" w:hAnsi="Arial"/>
                <w:sz w:val="20"/>
                <w:lang w:eastAsia="en-US"/>
              </w:rPr>
              <w:t>2 à 4%</w:t>
            </w:r>
          </w:p>
        </w:tc>
      </w:tr>
    </w:tbl>
    <w:p w:rsidR="00D672DB" w:rsidRPr="00872B66" w:rsidRDefault="00D672DB" w:rsidP="00D672DB">
      <w:pPr>
        <w:jc w:val="both"/>
        <w:rPr>
          <w:rFonts w:ascii="Arial" w:eastAsia="Arial" w:hAnsi="Arial"/>
          <w:sz w:val="22"/>
          <w:szCs w:val="22"/>
          <w:lang w:eastAsia="en-US"/>
        </w:rPr>
      </w:pPr>
    </w:p>
    <w:p w:rsidR="005B7CD5" w:rsidRPr="00872B66" w:rsidRDefault="005B7CD5" w:rsidP="005B7CD5">
      <w:pPr>
        <w:jc w:val="both"/>
        <w:rPr>
          <w:rFonts w:ascii="Arial" w:hAnsi="Arial" w:cs="Arial"/>
          <w:sz w:val="22"/>
        </w:rPr>
      </w:pPr>
      <w:r w:rsidRPr="00872B66">
        <w:rPr>
          <w:rFonts w:ascii="Arial" w:hAnsi="Arial" w:cs="Arial"/>
          <w:sz w:val="22"/>
          <w:u w:val="single"/>
        </w:rPr>
        <w:t xml:space="preserve">Document </w:t>
      </w:r>
      <w:r w:rsidR="00872B66">
        <w:rPr>
          <w:rFonts w:ascii="Arial" w:hAnsi="Arial" w:cs="Arial"/>
          <w:sz w:val="22"/>
          <w:u w:val="single"/>
        </w:rPr>
        <w:t>2</w:t>
      </w:r>
      <w:r w:rsidRPr="00872B66">
        <w:rPr>
          <w:rFonts w:ascii="Arial" w:hAnsi="Arial" w:cs="Arial"/>
          <w:sz w:val="22"/>
        </w:rPr>
        <w:t> : Le</w:t>
      </w:r>
      <w:r w:rsidR="00872B66">
        <w:rPr>
          <w:rFonts w:ascii="Arial" w:hAnsi="Arial" w:cs="Arial"/>
          <w:sz w:val="22"/>
        </w:rPr>
        <w:t xml:space="preserve"> diabète de type 2</w:t>
      </w:r>
      <w:r w:rsidRPr="00872B66">
        <w:rPr>
          <w:rFonts w:ascii="Arial" w:hAnsi="Arial" w:cs="Arial"/>
          <w:sz w:val="22"/>
        </w:rPr>
        <w:t xml:space="preserve"> </w:t>
      </w:r>
      <w:r w:rsidR="00872B66">
        <w:rPr>
          <w:rFonts w:ascii="Arial" w:hAnsi="Arial" w:cs="Arial"/>
          <w:sz w:val="22"/>
        </w:rPr>
        <w:t xml:space="preserve">(DT2) </w:t>
      </w:r>
      <w:r w:rsidRPr="00872B66">
        <w:rPr>
          <w:rFonts w:ascii="Arial" w:hAnsi="Arial" w:cs="Arial"/>
          <w:sz w:val="22"/>
        </w:rPr>
        <w:t xml:space="preserve">chez les Indiens </w:t>
      </w:r>
      <w:proofErr w:type="spellStart"/>
      <w:r w:rsidRPr="00872B66">
        <w:rPr>
          <w:rFonts w:ascii="Arial" w:hAnsi="Arial" w:cs="Arial"/>
          <w:sz w:val="22"/>
        </w:rPr>
        <w:t>Pimas</w:t>
      </w:r>
      <w:proofErr w:type="spellEnd"/>
    </w:p>
    <w:p w:rsidR="005B7CD5" w:rsidRPr="00872B66" w:rsidRDefault="005B7CD5" w:rsidP="005B7CD5">
      <w:pPr>
        <w:jc w:val="both"/>
        <w:rPr>
          <w:rFonts w:ascii="Arial" w:hAnsi="Arial" w:cs="Arial"/>
          <w:b/>
          <w:sz w:val="12"/>
        </w:rPr>
      </w:pPr>
    </w:p>
    <w:p w:rsidR="005B7CD5" w:rsidRPr="00872B66" w:rsidRDefault="005B7CD5" w:rsidP="005B7CD5">
      <w:pPr>
        <w:pStyle w:val="NormalWeb"/>
        <w:spacing w:before="0" w:beforeAutospacing="0" w:after="0" w:afterAutospacing="0"/>
        <w:jc w:val="both"/>
        <w:rPr>
          <w:rFonts w:ascii="Arial" w:hAnsi="Arial" w:cs="Arial"/>
          <w:sz w:val="22"/>
        </w:rPr>
      </w:pPr>
      <w:r w:rsidRPr="00872B66">
        <w:rPr>
          <w:noProof/>
          <w:sz w:val="22"/>
        </w:rPr>
        <w:drawing>
          <wp:anchor distT="0" distB="0" distL="114300" distR="114300" simplePos="0" relativeHeight="251660288" behindDoc="0" locked="0" layoutInCell="1" allowOverlap="1">
            <wp:simplePos x="0" y="0"/>
            <wp:positionH relativeFrom="column">
              <wp:posOffset>3910330</wp:posOffset>
            </wp:positionH>
            <wp:positionV relativeFrom="paragraph">
              <wp:posOffset>85725</wp:posOffset>
            </wp:positionV>
            <wp:extent cx="2509520" cy="3211195"/>
            <wp:effectExtent l="19050" t="0" r="5080" b="0"/>
            <wp:wrapSquare wrapText="bothSides"/>
            <wp:docPr id="4" name="Image 2" descr="pi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mas"/>
                    <pic:cNvPicPr>
                      <a:picLocks noChangeAspect="1" noChangeArrowheads="1"/>
                    </pic:cNvPicPr>
                  </pic:nvPicPr>
                  <pic:blipFill>
                    <a:blip r:embed="rId6" cstate="print"/>
                    <a:srcRect l="9070" t="2466" r="11310" b="2296"/>
                    <a:stretch>
                      <a:fillRect/>
                    </a:stretch>
                  </pic:blipFill>
                  <pic:spPr bwMode="auto">
                    <a:xfrm>
                      <a:off x="0" y="0"/>
                      <a:ext cx="2509520" cy="3211195"/>
                    </a:xfrm>
                    <a:prstGeom prst="rect">
                      <a:avLst/>
                    </a:prstGeom>
                    <a:noFill/>
                  </pic:spPr>
                </pic:pic>
              </a:graphicData>
            </a:graphic>
          </wp:anchor>
        </w:drawing>
      </w:r>
      <w:r w:rsidRPr="00872B66">
        <w:rPr>
          <w:rFonts w:ascii="Arial" w:hAnsi="Arial" w:cs="Arial"/>
          <w:sz w:val="22"/>
        </w:rPr>
        <w:t xml:space="preserve">Originaires du Mexique, les Indiens </w:t>
      </w:r>
      <w:proofErr w:type="spellStart"/>
      <w:r w:rsidRPr="00872B66">
        <w:rPr>
          <w:rFonts w:ascii="Arial" w:hAnsi="Arial" w:cs="Arial"/>
          <w:sz w:val="22"/>
        </w:rPr>
        <w:t>Pimas</w:t>
      </w:r>
      <w:proofErr w:type="spellEnd"/>
      <w:r w:rsidRPr="00872B66">
        <w:rPr>
          <w:rFonts w:ascii="Arial" w:hAnsi="Arial" w:cs="Arial"/>
          <w:sz w:val="22"/>
        </w:rPr>
        <w:t xml:space="preserve"> des États-Unis se sont installés dans le désert de </w:t>
      </w:r>
      <w:proofErr w:type="spellStart"/>
      <w:r w:rsidRPr="00872B66">
        <w:rPr>
          <w:rFonts w:ascii="Arial" w:hAnsi="Arial" w:cs="Arial"/>
          <w:sz w:val="22"/>
        </w:rPr>
        <w:t>Sonoran</w:t>
      </w:r>
      <w:proofErr w:type="spellEnd"/>
      <w:r w:rsidRPr="00872B66">
        <w:rPr>
          <w:rFonts w:ascii="Arial" w:hAnsi="Arial" w:cs="Arial"/>
          <w:sz w:val="22"/>
        </w:rPr>
        <w:t xml:space="preserve"> (Arizona), il y a environ trente mille ans. Restés isolés des populations voisines pendant des millénaires, et donc génétiquement homogènes, ils pratiquaient une agriculture de subsistance.</w:t>
      </w:r>
    </w:p>
    <w:p w:rsidR="005B7CD5" w:rsidRPr="00872B66" w:rsidRDefault="005B7CD5" w:rsidP="005B7CD5">
      <w:pPr>
        <w:pStyle w:val="NormalWeb"/>
        <w:spacing w:before="0" w:beforeAutospacing="0" w:after="0" w:afterAutospacing="0"/>
        <w:jc w:val="both"/>
        <w:rPr>
          <w:rFonts w:ascii="Arial" w:hAnsi="Arial" w:cs="Arial"/>
          <w:sz w:val="22"/>
        </w:rPr>
      </w:pPr>
      <w:r w:rsidRPr="00872B66">
        <w:rPr>
          <w:rFonts w:ascii="Arial" w:hAnsi="Arial" w:cs="Arial"/>
          <w:sz w:val="22"/>
        </w:rPr>
        <w:t>Depuis le début du XXème siècle, ils ont été soustraits à leur mode de vie traditionnel pour être entraînés dans les travers de la société d’abondance et de consommation à l’américaine : manque d’activité physique, surconsommation, alimentation trop riche en sucres et en graisse, etc. Aujourd’hui, l’obésité frappe une grande partie de la population et ils détiennent un record mondial, celui de la prévalence* du DT2.</w:t>
      </w:r>
    </w:p>
    <w:p w:rsidR="005B7CD5" w:rsidRPr="00872B66" w:rsidRDefault="005B7CD5" w:rsidP="005B7CD5">
      <w:pPr>
        <w:jc w:val="both"/>
        <w:rPr>
          <w:rFonts w:ascii="Arial" w:hAnsi="Arial" w:cs="Arial"/>
          <w:i/>
          <w:sz w:val="18"/>
        </w:rPr>
      </w:pPr>
      <w:r w:rsidRPr="00872B66">
        <w:rPr>
          <w:rFonts w:ascii="Arial" w:hAnsi="Arial" w:cs="Arial"/>
          <w:i/>
          <w:sz w:val="18"/>
        </w:rPr>
        <w:t>* prévalence = pourcentage d’individus atteints sur l’ensemble de la population étudiée.</w:t>
      </w:r>
    </w:p>
    <w:p w:rsidR="005B7CD5" w:rsidRPr="0030636D" w:rsidRDefault="005B7CD5" w:rsidP="005B7CD5">
      <w:pPr>
        <w:jc w:val="both"/>
        <w:rPr>
          <w:rFonts w:ascii="Arial" w:hAnsi="Arial" w:cs="Arial"/>
          <w:i/>
          <w:sz w:val="20"/>
        </w:rPr>
      </w:pPr>
    </w:p>
    <w:p w:rsidR="005B7CD5" w:rsidRPr="0030636D" w:rsidRDefault="004133B4" w:rsidP="005B7CD5">
      <w:pPr>
        <w:jc w:val="both"/>
        <w:rPr>
          <w:rFonts w:ascii="Arial" w:hAnsi="Arial" w:cs="Arial"/>
          <w:sz w:val="22"/>
        </w:rPr>
      </w:pPr>
      <w:r w:rsidRPr="0030636D">
        <w:rPr>
          <w:rFonts w:ascii="Arial" w:hAnsi="Arial" w:cs="Arial"/>
          <w:sz w:val="22"/>
        </w:rPr>
        <w:sym w:font="Webdings" w:char="F034"/>
      </w:r>
      <w:r w:rsidR="005B7CD5" w:rsidRPr="0030636D">
        <w:rPr>
          <w:rFonts w:ascii="Arial" w:hAnsi="Arial" w:cs="Arial"/>
          <w:sz w:val="22"/>
        </w:rPr>
        <w:t>Le graphique ci-contre montre la prévalence du DT2 chez</w:t>
      </w:r>
      <w:r w:rsidR="00872B66">
        <w:rPr>
          <w:rFonts w:ascii="Arial" w:hAnsi="Arial" w:cs="Arial"/>
          <w:sz w:val="22"/>
        </w:rPr>
        <w:br/>
      </w:r>
      <w:r w:rsidR="005B7CD5" w:rsidRPr="0030636D">
        <w:rPr>
          <w:rFonts w:ascii="Arial" w:hAnsi="Arial" w:cs="Arial"/>
          <w:sz w:val="22"/>
        </w:rPr>
        <w:t xml:space="preserve"> les Indiens </w:t>
      </w:r>
      <w:proofErr w:type="spellStart"/>
      <w:r w:rsidR="005B7CD5" w:rsidRPr="0030636D">
        <w:rPr>
          <w:rFonts w:ascii="Arial" w:hAnsi="Arial" w:cs="Arial"/>
          <w:sz w:val="22"/>
        </w:rPr>
        <w:t>Pimas</w:t>
      </w:r>
      <w:proofErr w:type="spellEnd"/>
      <w:r w:rsidR="005B7CD5" w:rsidRPr="0030636D">
        <w:rPr>
          <w:rFonts w:ascii="Arial" w:hAnsi="Arial" w:cs="Arial"/>
          <w:sz w:val="22"/>
        </w:rPr>
        <w:t xml:space="preserve"> vivant aux Etats-Unis, en</w:t>
      </w:r>
      <w:r w:rsidR="00872B66">
        <w:rPr>
          <w:rFonts w:ascii="Arial" w:hAnsi="Arial" w:cs="Arial"/>
          <w:sz w:val="22"/>
        </w:rPr>
        <w:t xml:space="preserve"> comparaison de celle</w:t>
      </w:r>
      <w:r>
        <w:rPr>
          <w:rFonts w:ascii="Arial" w:hAnsi="Arial" w:cs="Arial"/>
          <w:sz w:val="22"/>
        </w:rPr>
        <w:t xml:space="preserve"> d’américains</w:t>
      </w:r>
      <w:r w:rsidR="005B7CD5" w:rsidRPr="0030636D">
        <w:rPr>
          <w:rFonts w:ascii="Arial" w:hAnsi="Arial" w:cs="Arial"/>
          <w:sz w:val="22"/>
        </w:rPr>
        <w:t xml:space="preserve"> de type européen vivant dans </w:t>
      </w:r>
      <w:r w:rsidR="005B7CD5">
        <w:rPr>
          <w:rFonts w:ascii="Arial" w:hAnsi="Arial" w:cs="Arial"/>
          <w:sz w:val="22"/>
        </w:rPr>
        <w:t>la même région et selon le même mode de vie.</w:t>
      </w:r>
    </w:p>
    <w:p w:rsidR="005B7CD5" w:rsidRPr="00E10309" w:rsidRDefault="005B7CD5" w:rsidP="00D672DB">
      <w:pPr>
        <w:jc w:val="both"/>
        <w:rPr>
          <w:rFonts w:ascii="Arial" w:eastAsia="Arial" w:hAnsi="Arial"/>
          <w:sz w:val="22"/>
          <w:szCs w:val="22"/>
          <w:lang w:eastAsia="en-US"/>
        </w:rPr>
      </w:pPr>
    </w:p>
    <w:p w:rsidR="00D672DB" w:rsidRPr="00E10309" w:rsidRDefault="00D672DB" w:rsidP="00D672DB">
      <w:pPr>
        <w:spacing w:line="276" w:lineRule="auto"/>
        <w:ind w:left="5664" w:firstLine="708"/>
        <w:jc w:val="right"/>
        <w:rPr>
          <w:rFonts w:ascii="Arial" w:eastAsia="Arial" w:hAnsi="Arial"/>
          <w:sz w:val="18"/>
          <w:szCs w:val="18"/>
          <w:u w:val="single"/>
          <w:lang w:eastAsia="en-US"/>
        </w:rPr>
      </w:pPr>
      <w:r w:rsidRPr="00E10309">
        <w:rPr>
          <w:rFonts w:ascii="Arial" w:hAnsi="Arial" w:cs="Arial"/>
          <w:i/>
          <w:sz w:val="18"/>
          <w:szCs w:val="18"/>
        </w:rPr>
        <w:t xml:space="preserve">(D’après </w:t>
      </w:r>
      <w:r w:rsidR="00872B66">
        <w:rPr>
          <w:rFonts w:ascii="Arial" w:hAnsi="Arial" w:cs="Arial"/>
          <w:i/>
          <w:sz w:val="18"/>
          <w:szCs w:val="18"/>
        </w:rPr>
        <w:t>Académie en ligne - CNED</w:t>
      </w:r>
      <w:r w:rsidRPr="00E10309">
        <w:rPr>
          <w:rFonts w:ascii="Arial" w:hAnsi="Arial" w:cs="Arial"/>
          <w:i/>
          <w:sz w:val="18"/>
          <w:szCs w:val="18"/>
        </w:rPr>
        <w:t>)</w:t>
      </w:r>
    </w:p>
    <w:p w:rsidR="00D672DB" w:rsidRPr="00E10309" w:rsidRDefault="00D672DB" w:rsidP="00D672DB">
      <w:pPr>
        <w:spacing w:line="276" w:lineRule="auto"/>
        <w:jc w:val="right"/>
        <w:rPr>
          <w:rFonts w:ascii="Arial" w:eastAsia="Arial" w:hAnsi="Arial"/>
          <w:sz w:val="18"/>
          <w:szCs w:val="18"/>
          <w:u w:val="single"/>
          <w:lang w:eastAsia="en-US"/>
        </w:rPr>
      </w:pPr>
    </w:p>
    <w:p w:rsidR="00D672DB" w:rsidRDefault="00D672DB" w:rsidP="00D672DB">
      <w:pPr>
        <w:spacing w:line="276" w:lineRule="auto"/>
        <w:jc w:val="both"/>
        <w:rPr>
          <w:rFonts w:ascii="Arial" w:hAnsi="Arial" w:cs="Arial"/>
          <w:sz w:val="22"/>
          <w:szCs w:val="22"/>
        </w:rPr>
      </w:pPr>
      <w:r w:rsidRPr="00E10309">
        <w:rPr>
          <w:rFonts w:ascii="Arial" w:eastAsia="Arial" w:hAnsi="Arial"/>
          <w:sz w:val="22"/>
          <w:szCs w:val="22"/>
          <w:u w:val="single"/>
          <w:lang w:eastAsia="en-US"/>
        </w:rPr>
        <w:t xml:space="preserve">Document </w:t>
      </w:r>
      <w:r w:rsidR="00872B66">
        <w:rPr>
          <w:rFonts w:ascii="Arial" w:eastAsia="Arial" w:hAnsi="Arial"/>
          <w:sz w:val="22"/>
          <w:szCs w:val="22"/>
          <w:u w:val="single"/>
          <w:lang w:eastAsia="en-US"/>
        </w:rPr>
        <w:t>3</w:t>
      </w:r>
      <w:r w:rsidRPr="00E10309">
        <w:rPr>
          <w:rFonts w:ascii="Arial" w:eastAsia="Arial" w:hAnsi="Arial"/>
          <w:sz w:val="22"/>
          <w:szCs w:val="22"/>
          <w:lang w:eastAsia="en-US"/>
        </w:rPr>
        <w:t xml:space="preserve"> : </w:t>
      </w:r>
      <w:r w:rsidRPr="00E10309">
        <w:rPr>
          <w:rFonts w:ascii="Arial" w:hAnsi="Arial" w:cs="Arial"/>
          <w:sz w:val="22"/>
          <w:szCs w:val="22"/>
        </w:rPr>
        <w:t>Certains diabètes ne sont pas classés dans les deux grands types cités ci-dessus. Parmi ceux-ci, l'un des plus importants est le diabète MODY (</w:t>
      </w:r>
      <w:r w:rsidRPr="00E10309">
        <w:rPr>
          <w:rFonts w:ascii="Arial" w:hAnsi="Arial" w:cs="Arial"/>
          <w:i/>
          <w:iCs/>
          <w:sz w:val="22"/>
          <w:szCs w:val="22"/>
        </w:rPr>
        <w:t>Maturity Onset type Diabetes of the Young</w:t>
      </w:r>
      <w:r w:rsidRPr="00E10309">
        <w:rPr>
          <w:rFonts w:ascii="Arial" w:hAnsi="Arial" w:cs="Arial"/>
          <w:sz w:val="22"/>
          <w:szCs w:val="22"/>
        </w:rPr>
        <w:t xml:space="preserve">). Le gène d’une enzyme : la glucokinase (qui catalyse la première </w:t>
      </w:r>
      <w:r w:rsidR="005233D5" w:rsidRPr="00E10309">
        <w:rPr>
          <w:rFonts w:ascii="Arial" w:hAnsi="Arial" w:cs="Arial"/>
          <w:sz w:val="22"/>
          <w:szCs w:val="22"/>
        </w:rPr>
        <w:t>réaction</w:t>
      </w:r>
      <w:r w:rsidRPr="00E10309">
        <w:rPr>
          <w:rFonts w:ascii="Arial" w:hAnsi="Arial" w:cs="Arial"/>
          <w:sz w:val="22"/>
          <w:szCs w:val="22"/>
        </w:rPr>
        <w:t xml:space="preserve"> de la glycolyse et donc de l’oxydation du glucose cytoplasmique) est étudié chez un individu sain et chez un in</w:t>
      </w:r>
      <w:r>
        <w:rPr>
          <w:rFonts w:ascii="Arial" w:hAnsi="Arial" w:cs="Arial"/>
          <w:sz w:val="22"/>
          <w:szCs w:val="22"/>
        </w:rPr>
        <w:t xml:space="preserve">dividu atteint de diabète MODY. </w:t>
      </w:r>
    </w:p>
    <w:p w:rsidR="00D672DB" w:rsidRPr="00046BFD" w:rsidRDefault="00D672DB" w:rsidP="00D672DB">
      <w:pPr>
        <w:spacing w:line="276" w:lineRule="auto"/>
        <w:jc w:val="both"/>
        <w:rPr>
          <w:rFonts w:ascii="Arial" w:hAnsi="Arial" w:cs="Arial"/>
          <w:sz w:val="8"/>
          <w:szCs w:val="22"/>
        </w:rPr>
      </w:pPr>
    </w:p>
    <w:p w:rsidR="00D672DB" w:rsidRDefault="005233D5" w:rsidP="00D672DB">
      <w:pPr>
        <w:spacing w:line="276" w:lineRule="auto"/>
        <w:jc w:val="both"/>
        <w:rPr>
          <w:sz w:val="22"/>
          <w:szCs w:val="22"/>
        </w:rPr>
      </w:pPr>
      <w:r>
        <w:rPr>
          <w:noProof/>
          <w:sz w:val="22"/>
          <w:szCs w:val="22"/>
        </w:rPr>
        <w:drawing>
          <wp:inline distT="0" distB="0" distL="0" distR="0">
            <wp:extent cx="6645910" cy="846455"/>
            <wp:effectExtent l="19050" t="0" r="2540" b="0"/>
            <wp:docPr id="1" name="Image 0" descr="seq m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 mody.jpg"/>
                    <pic:cNvPicPr/>
                  </pic:nvPicPr>
                  <pic:blipFill>
                    <a:blip r:embed="rId7" cstate="print"/>
                    <a:stretch>
                      <a:fillRect/>
                    </a:stretch>
                  </pic:blipFill>
                  <pic:spPr>
                    <a:xfrm>
                      <a:off x="0" y="0"/>
                      <a:ext cx="6645910" cy="846455"/>
                    </a:xfrm>
                    <a:prstGeom prst="rect">
                      <a:avLst/>
                    </a:prstGeom>
                  </pic:spPr>
                </pic:pic>
              </a:graphicData>
            </a:graphic>
          </wp:inline>
        </w:drawing>
      </w:r>
    </w:p>
    <w:p w:rsidR="00D672DB" w:rsidRPr="0093151D" w:rsidRDefault="00D672DB" w:rsidP="00D672DB">
      <w:pPr>
        <w:spacing w:line="276" w:lineRule="auto"/>
        <w:jc w:val="center"/>
        <w:rPr>
          <w:rFonts w:ascii="Arial" w:hAnsi="Arial" w:cs="Arial"/>
          <w:i/>
          <w:sz w:val="22"/>
          <w:szCs w:val="22"/>
        </w:rPr>
      </w:pPr>
      <w:r w:rsidRPr="0093151D">
        <w:rPr>
          <w:rFonts w:ascii="Arial" w:hAnsi="Arial" w:cs="Arial"/>
          <w:i/>
          <w:sz w:val="22"/>
          <w:szCs w:val="22"/>
        </w:rPr>
        <w:t>Comparaison de la séquence du gène de la glucokinase chez un individu sain et chez un individu atteint de diabète MODY 2</w:t>
      </w:r>
    </w:p>
    <w:p w:rsidR="00D672DB" w:rsidRPr="00046BFD" w:rsidRDefault="00D672DB" w:rsidP="00D672DB">
      <w:pPr>
        <w:jc w:val="both"/>
        <w:rPr>
          <w:rFonts w:ascii="Arial" w:eastAsia="Arial" w:hAnsi="Arial"/>
          <w:b/>
          <w:sz w:val="20"/>
          <w:szCs w:val="22"/>
          <w:lang w:eastAsia="en-US"/>
        </w:rPr>
      </w:pPr>
    </w:p>
    <w:p w:rsidR="00D672DB" w:rsidRDefault="00D672DB" w:rsidP="00D672DB">
      <w:pPr>
        <w:pStyle w:val="Sansinterligne"/>
        <w:jc w:val="both"/>
        <w:rPr>
          <w:rFonts w:ascii="Arial" w:eastAsia="Arial" w:hAnsi="Arial" w:cs="Arial"/>
          <w:b/>
          <w:szCs w:val="22"/>
          <w:lang w:eastAsia="en-US"/>
        </w:rPr>
      </w:pPr>
      <w:r>
        <w:rPr>
          <w:rFonts w:ascii="Arial" w:eastAsia="Arial" w:hAnsi="Arial" w:cs="Arial"/>
          <w:b/>
          <w:szCs w:val="22"/>
          <w:lang w:eastAsia="en-US"/>
        </w:rPr>
        <w:t xml:space="preserve">- </w:t>
      </w:r>
      <w:r w:rsidRPr="00C26EC8">
        <w:rPr>
          <w:rFonts w:ascii="Arial" w:eastAsia="Arial" w:hAnsi="Arial" w:cs="Arial"/>
          <w:b/>
          <w:szCs w:val="22"/>
          <w:lang w:eastAsia="en-US"/>
        </w:rPr>
        <w:t>A</w:t>
      </w:r>
      <w:r>
        <w:rPr>
          <w:rFonts w:ascii="Arial" w:eastAsia="Arial" w:hAnsi="Arial" w:cs="Arial"/>
          <w:b/>
          <w:szCs w:val="22"/>
          <w:lang w:eastAsia="en-US"/>
        </w:rPr>
        <w:t>près avoir défini le diabète, précisez</w:t>
      </w:r>
      <w:r w:rsidRPr="00C26EC8">
        <w:rPr>
          <w:rFonts w:ascii="Arial" w:eastAsia="Arial" w:hAnsi="Arial" w:cs="Arial"/>
          <w:b/>
          <w:szCs w:val="22"/>
          <w:lang w:eastAsia="en-US"/>
        </w:rPr>
        <w:t xml:space="preserve"> les différences entre les deux types de diabète évoqué</w:t>
      </w:r>
      <w:r>
        <w:rPr>
          <w:rFonts w:ascii="Arial" w:eastAsia="Arial" w:hAnsi="Arial" w:cs="Arial"/>
          <w:b/>
          <w:szCs w:val="22"/>
          <w:lang w:eastAsia="en-US"/>
        </w:rPr>
        <w:t>s dans le document 1.</w:t>
      </w:r>
    </w:p>
    <w:p w:rsidR="006A0E60" w:rsidRPr="00D672DB" w:rsidRDefault="00D672DB" w:rsidP="00D672DB">
      <w:pPr>
        <w:pStyle w:val="Sansinterligne"/>
        <w:jc w:val="both"/>
        <w:rPr>
          <w:rFonts w:ascii="Arial" w:eastAsia="Arial" w:hAnsi="Arial" w:cs="Arial"/>
          <w:b/>
          <w:szCs w:val="22"/>
          <w:lang w:eastAsia="en-US"/>
        </w:rPr>
      </w:pPr>
      <w:r>
        <w:rPr>
          <w:rFonts w:ascii="Arial" w:eastAsia="Arial" w:hAnsi="Arial" w:cs="Arial"/>
          <w:b/>
          <w:szCs w:val="22"/>
          <w:lang w:eastAsia="en-US"/>
        </w:rPr>
        <w:t>- E</w:t>
      </w:r>
      <w:r w:rsidRPr="00C26EC8">
        <w:rPr>
          <w:rFonts w:ascii="Arial" w:eastAsia="Arial" w:hAnsi="Arial" w:cs="Arial"/>
          <w:b/>
          <w:szCs w:val="22"/>
          <w:lang w:eastAsia="en-US"/>
        </w:rPr>
        <w:t xml:space="preserve">xploitez l’ensemble </w:t>
      </w:r>
      <w:r w:rsidR="00046BFD">
        <w:rPr>
          <w:rFonts w:ascii="Arial" w:eastAsia="Arial" w:hAnsi="Arial" w:cs="Arial"/>
          <w:b/>
          <w:szCs w:val="22"/>
          <w:lang w:eastAsia="en-US"/>
        </w:rPr>
        <w:t xml:space="preserve">des documents afin </w:t>
      </w:r>
      <w:r>
        <w:rPr>
          <w:rFonts w:ascii="Arial" w:eastAsia="Arial" w:hAnsi="Arial" w:cs="Arial"/>
          <w:b/>
          <w:szCs w:val="22"/>
          <w:lang w:eastAsia="en-US"/>
        </w:rPr>
        <w:t xml:space="preserve">de discuter </w:t>
      </w:r>
      <w:r w:rsidRPr="00C26EC8">
        <w:rPr>
          <w:rFonts w:ascii="Arial" w:eastAsia="Arial" w:hAnsi="Arial" w:cs="Arial"/>
          <w:b/>
          <w:szCs w:val="22"/>
          <w:lang w:eastAsia="en-US"/>
        </w:rPr>
        <w:t>des facteurs</w:t>
      </w:r>
      <w:r>
        <w:rPr>
          <w:rFonts w:ascii="Arial" w:eastAsia="Arial" w:hAnsi="Arial" w:cs="Arial"/>
          <w:b/>
          <w:szCs w:val="22"/>
          <w:lang w:eastAsia="en-US"/>
        </w:rPr>
        <w:t xml:space="preserve"> à l’origine du déclenchement des</w:t>
      </w:r>
      <w:r w:rsidRPr="00C26EC8">
        <w:rPr>
          <w:rFonts w:ascii="Arial" w:eastAsia="Arial" w:hAnsi="Arial" w:cs="Arial"/>
          <w:b/>
          <w:szCs w:val="22"/>
          <w:lang w:eastAsia="en-US"/>
        </w:rPr>
        <w:t xml:space="preserve"> diabète</w:t>
      </w:r>
      <w:r>
        <w:rPr>
          <w:rFonts w:ascii="Arial" w:eastAsia="Arial" w:hAnsi="Arial" w:cs="Arial"/>
          <w:b/>
          <w:szCs w:val="22"/>
          <w:lang w:eastAsia="en-US"/>
        </w:rPr>
        <w:t>s.</w:t>
      </w:r>
    </w:p>
    <w:sectPr w:rsidR="006A0E60" w:rsidRPr="00D672DB" w:rsidSect="00050E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050E70"/>
    <w:rsid w:val="00046BFD"/>
    <w:rsid w:val="00050E70"/>
    <w:rsid w:val="004133B4"/>
    <w:rsid w:val="004A76D0"/>
    <w:rsid w:val="005233D5"/>
    <w:rsid w:val="005A7C0A"/>
    <w:rsid w:val="005B7CD5"/>
    <w:rsid w:val="005F400C"/>
    <w:rsid w:val="006A0E60"/>
    <w:rsid w:val="006A4950"/>
    <w:rsid w:val="006E1A32"/>
    <w:rsid w:val="00872B66"/>
    <w:rsid w:val="008D41D5"/>
    <w:rsid w:val="0093151D"/>
    <w:rsid w:val="009B1275"/>
    <w:rsid w:val="00A75147"/>
    <w:rsid w:val="00C35BCA"/>
    <w:rsid w:val="00D672DB"/>
    <w:rsid w:val="00E0421B"/>
    <w:rsid w:val="00E2226C"/>
    <w:rsid w:val="00F6147C"/>
    <w:rsid w:val="00FF5C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050E70"/>
  </w:style>
  <w:style w:type="paragraph" w:styleId="Textedebulles">
    <w:name w:val="Balloon Text"/>
    <w:basedOn w:val="Normal"/>
    <w:link w:val="TextedebullesCar"/>
    <w:uiPriority w:val="99"/>
    <w:semiHidden/>
    <w:unhideWhenUsed/>
    <w:rsid w:val="005F400C"/>
    <w:rPr>
      <w:rFonts w:ascii="Tahoma" w:hAnsi="Tahoma" w:cs="Tahoma"/>
      <w:sz w:val="16"/>
      <w:szCs w:val="16"/>
    </w:rPr>
  </w:style>
  <w:style w:type="character" w:customStyle="1" w:styleId="TextedebullesCar">
    <w:name w:val="Texte de bulles Car"/>
    <w:basedOn w:val="Policepardfaut"/>
    <w:link w:val="Textedebulles"/>
    <w:uiPriority w:val="99"/>
    <w:semiHidden/>
    <w:rsid w:val="005F400C"/>
    <w:rPr>
      <w:rFonts w:ascii="Tahoma" w:eastAsia="Times New Roman" w:hAnsi="Tahoma" w:cs="Tahoma"/>
      <w:sz w:val="16"/>
      <w:szCs w:val="16"/>
      <w:lang w:eastAsia="fr-FR"/>
    </w:rPr>
  </w:style>
  <w:style w:type="paragraph" w:styleId="Sansinterligne">
    <w:name w:val="No Spacing"/>
    <w:qFormat/>
    <w:rsid w:val="00D672DB"/>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67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B7C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050E70"/>
  </w:style>
  <w:style w:type="paragraph" w:styleId="Textedebulles">
    <w:name w:val="Balloon Text"/>
    <w:basedOn w:val="Normal"/>
    <w:link w:val="TextedebullesCar"/>
    <w:uiPriority w:val="99"/>
    <w:semiHidden/>
    <w:unhideWhenUsed/>
    <w:rsid w:val="005F400C"/>
    <w:rPr>
      <w:rFonts w:ascii="Tahoma" w:hAnsi="Tahoma" w:cs="Tahoma"/>
      <w:sz w:val="16"/>
      <w:szCs w:val="16"/>
    </w:rPr>
  </w:style>
  <w:style w:type="character" w:customStyle="1" w:styleId="TextedebullesCar">
    <w:name w:val="Texte de bulles Car"/>
    <w:basedOn w:val="Policepardfaut"/>
    <w:link w:val="Textedebulles"/>
    <w:uiPriority w:val="99"/>
    <w:semiHidden/>
    <w:rsid w:val="005F400C"/>
    <w:rPr>
      <w:rFonts w:ascii="Tahoma" w:eastAsia="Times New Roman" w:hAnsi="Tahoma" w:cs="Tahoma"/>
      <w:sz w:val="16"/>
      <w:szCs w:val="16"/>
      <w:lang w:eastAsia="fr-FR"/>
    </w:rPr>
  </w:style>
  <w:style w:type="paragraph" w:styleId="Sansinterligne">
    <w:name w:val="No Spacing"/>
    <w:qFormat/>
    <w:rsid w:val="00D672DB"/>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6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531</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bureau</cp:lastModifiedBy>
  <cp:revision>4</cp:revision>
  <dcterms:created xsi:type="dcterms:W3CDTF">2015-06-18T12:33:00Z</dcterms:created>
  <dcterms:modified xsi:type="dcterms:W3CDTF">2015-06-18T12:45:00Z</dcterms:modified>
</cp:coreProperties>
</file>