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30" w:rsidRDefault="00A81E30" w:rsidP="00A81E3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Style w:val="stitre"/>
          <w:rFonts w:ascii="Arial" w:hAnsi="Arial" w:cs="Arial"/>
          <w:b/>
          <w:bCs/>
          <w:sz w:val="28"/>
          <w:szCs w:val="28"/>
        </w:rPr>
        <w:t xml:space="preserve">Épreuve orale de contrôle en SVT </w:t>
      </w:r>
      <w:r>
        <w:rPr>
          <w:rStyle w:val="stitre"/>
          <w:rFonts w:ascii="Arial" w:hAnsi="Arial" w:cs="Arial"/>
          <w:b/>
          <w:bCs/>
          <w:color w:val="000000"/>
          <w:sz w:val="28"/>
          <w:szCs w:val="28"/>
        </w:rPr>
        <w:t>spécialité</w:t>
      </w:r>
      <w:r w:rsidRPr="00BC350A">
        <w:rPr>
          <w:rStyle w:val="stitre"/>
          <w:b/>
          <w:bCs/>
          <w:color w:val="000000"/>
        </w:rPr>
        <w:br/>
      </w:r>
      <w:r>
        <w:rPr>
          <w:rStyle w:val="stitre"/>
          <w:rFonts w:ascii="Arial" w:hAnsi="Arial" w:cs="Arial"/>
          <w:b/>
          <w:bCs/>
          <w:sz w:val="28"/>
          <w:szCs w:val="28"/>
        </w:rPr>
        <w:t xml:space="preserve">Sujet N° </w:t>
      </w:r>
      <w:r w:rsidR="00832FDA">
        <w:rPr>
          <w:rStyle w:val="stitre"/>
          <w:rFonts w:ascii="Arial" w:hAnsi="Arial" w:cs="Arial"/>
          <w:b/>
          <w:bCs/>
          <w:sz w:val="32"/>
        </w:rPr>
        <w:t xml:space="preserve"> </w:t>
      </w:r>
      <w:bookmarkStart w:id="0" w:name="_GoBack"/>
      <w:bookmarkEnd w:id="0"/>
      <w:r w:rsidR="00832FDA">
        <w:rPr>
          <w:rStyle w:val="stitre"/>
          <w:rFonts w:ascii="Arial" w:hAnsi="Arial" w:cs="Arial"/>
          <w:b/>
          <w:bCs/>
          <w:sz w:val="32"/>
        </w:rPr>
        <w:t>39</w:t>
      </w:r>
      <w:r>
        <w:rPr>
          <w:rStyle w:val="stitre"/>
          <w:rFonts w:ascii="Arial" w:hAnsi="Arial" w:cs="Arial"/>
          <w:b/>
          <w:bCs/>
          <w:sz w:val="32"/>
        </w:rPr>
        <w:t xml:space="preserve">                   </w:t>
      </w:r>
      <w:r>
        <w:rPr>
          <w:rFonts w:ascii="Arial" w:hAnsi="Arial" w:cs="Arial"/>
          <w:sz w:val="32"/>
        </w:rPr>
        <w:br/>
      </w:r>
      <w:r>
        <w:rPr>
          <w:rFonts w:ascii="Arial" w:hAnsi="Arial" w:cs="Arial"/>
          <w:sz w:val="28"/>
          <w:szCs w:val="28"/>
        </w:rPr>
        <w:t>Temps de préparation : 20 minutes</w:t>
      </w:r>
    </w:p>
    <w:p w:rsidR="00A81E30" w:rsidRDefault="00A81E30" w:rsidP="00A81E30">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sz w:val="28"/>
          <w:szCs w:val="28"/>
        </w:rPr>
        <w:t>Durée de présentation orale : 20 minutes</w:t>
      </w:r>
    </w:p>
    <w:p w:rsidR="00A81E30" w:rsidRDefault="00A81E30" w:rsidP="00A81E30">
      <w:pPr>
        <w:jc w:val="both"/>
        <w:rPr>
          <w:rFonts w:ascii="Arial" w:hAnsi="Arial" w:cs="Arial"/>
        </w:rPr>
      </w:pPr>
      <w:r>
        <w:rPr>
          <w:rFonts w:ascii="Arial" w:hAnsi="Arial" w:cs="Arial"/>
          <w:sz w:val="32"/>
        </w:rPr>
        <w:br/>
      </w:r>
      <w:r>
        <w:rPr>
          <w:rFonts w:ascii="Arial" w:hAnsi="Arial" w:cs="Arial"/>
        </w:rPr>
        <w:t xml:space="preserve">Le candidat  traitera les </w:t>
      </w:r>
      <w:r>
        <w:rPr>
          <w:rFonts w:ascii="Arial" w:hAnsi="Arial" w:cs="Arial"/>
          <w:b/>
        </w:rPr>
        <w:t>deux questions.</w:t>
      </w:r>
      <w:r>
        <w:rPr>
          <w:rFonts w:ascii="Arial" w:hAnsi="Arial" w:cs="Arial"/>
        </w:rPr>
        <w:t xml:space="preserve"> Il est possible d’utiliser des feuilles de brouillon durant la préparation, mais la présentation se fera </w:t>
      </w:r>
      <w:r>
        <w:rPr>
          <w:rFonts w:ascii="Arial" w:hAnsi="Arial" w:cs="Arial"/>
          <w:b/>
        </w:rPr>
        <w:t>oralement</w:t>
      </w:r>
      <w:r>
        <w:rPr>
          <w:rFonts w:ascii="Arial" w:hAnsi="Arial" w:cs="Arial"/>
        </w:rPr>
        <w:t>.</w:t>
      </w:r>
    </w:p>
    <w:p w:rsidR="00A81E30" w:rsidRDefault="00A81E30" w:rsidP="00A81E30">
      <w:pPr>
        <w:jc w:val="both"/>
        <w:rPr>
          <w:rFonts w:ascii="Arial" w:hAnsi="Arial" w:cs="Arial"/>
        </w:rPr>
      </w:pPr>
      <w:r>
        <w:rPr>
          <w:rFonts w:ascii="Arial" w:hAnsi="Arial" w:cs="Arial"/>
        </w:rPr>
        <w:t>L’examinateur posera des questions complémentaires durant les échanges.</w:t>
      </w:r>
    </w:p>
    <w:p w:rsidR="00A81E30" w:rsidRDefault="00A81E30" w:rsidP="00A81E30">
      <w:pPr>
        <w:jc w:val="both"/>
        <w:rPr>
          <w:rFonts w:ascii="Arial" w:hAnsi="Arial" w:cs="Arial"/>
          <w:color w:val="0000FF"/>
        </w:rPr>
      </w:pPr>
      <w:r>
        <w:rPr>
          <w:rFonts w:ascii="Arial" w:hAnsi="Arial" w:cs="Arial"/>
        </w:rPr>
        <w:t xml:space="preserve">La note sur </w:t>
      </w:r>
      <w:r>
        <w:rPr>
          <w:rFonts w:ascii="Arial" w:hAnsi="Arial" w:cs="Arial"/>
          <w:b/>
        </w:rPr>
        <w:t>20 points</w:t>
      </w:r>
      <w:r>
        <w:rPr>
          <w:rFonts w:ascii="Arial" w:hAnsi="Arial" w:cs="Arial"/>
        </w:rPr>
        <w:t xml:space="preserve"> prendra en compte pour moitié  les </w:t>
      </w:r>
      <w:r>
        <w:rPr>
          <w:rFonts w:ascii="Arial" w:hAnsi="Arial" w:cs="Arial"/>
          <w:b/>
        </w:rPr>
        <w:t>connaissances</w:t>
      </w:r>
      <w:r>
        <w:rPr>
          <w:rFonts w:ascii="Arial" w:hAnsi="Arial" w:cs="Arial"/>
        </w:rPr>
        <w:t xml:space="preserve"> et pour moitié le </w:t>
      </w:r>
      <w:r>
        <w:rPr>
          <w:rFonts w:ascii="Arial" w:hAnsi="Arial" w:cs="Arial"/>
          <w:b/>
        </w:rPr>
        <w:t>raisonnement</w:t>
      </w:r>
      <w:r>
        <w:rPr>
          <w:rFonts w:ascii="Arial" w:hAnsi="Arial" w:cs="Arial"/>
        </w:rPr>
        <w:t xml:space="preserve"> à partir de </w:t>
      </w:r>
      <w:r>
        <w:rPr>
          <w:rFonts w:ascii="Arial" w:hAnsi="Arial" w:cs="Arial"/>
          <w:b/>
        </w:rPr>
        <w:t>l’exploitation des documents</w:t>
      </w:r>
      <w:r>
        <w:rPr>
          <w:rFonts w:ascii="Arial" w:hAnsi="Arial" w:cs="Arial"/>
        </w:rPr>
        <w:t xml:space="preserve">. </w:t>
      </w:r>
    </w:p>
    <w:p w:rsidR="00FD127D" w:rsidRDefault="00FD127D" w:rsidP="00A81E30">
      <w:pPr>
        <w:jc w:val="both"/>
        <w:rPr>
          <w:rFonts w:ascii="Arial" w:hAnsi="Arial" w:cs="Arial"/>
          <w:b/>
          <w:color w:val="00B050"/>
        </w:rPr>
      </w:pPr>
    </w:p>
    <w:p w:rsidR="0041638E" w:rsidRDefault="0041638E" w:rsidP="0041638E">
      <w:pPr>
        <w:jc w:val="both"/>
        <w:rPr>
          <w:rFonts w:ascii="Arial" w:hAnsi="Arial" w:cs="Arial"/>
          <w:b/>
          <w:sz w:val="28"/>
          <w:u w:val="single"/>
        </w:rPr>
      </w:pPr>
      <w:r>
        <w:rPr>
          <w:rFonts w:ascii="Arial" w:hAnsi="Arial" w:cs="Arial"/>
          <w:b/>
          <w:sz w:val="28"/>
          <w:u w:val="single"/>
        </w:rPr>
        <w:t>Question 1 :</w:t>
      </w:r>
    </w:p>
    <w:p w:rsidR="0041638E" w:rsidRDefault="0041638E" w:rsidP="0041638E">
      <w:pPr>
        <w:jc w:val="both"/>
        <w:rPr>
          <w:rFonts w:ascii="Arial" w:hAnsi="Arial" w:cs="Arial"/>
          <w:b/>
          <w:sz w:val="28"/>
          <w:u w:val="single"/>
        </w:rPr>
      </w:pPr>
    </w:p>
    <w:p w:rsidR="0041638E" w:rsidRPr="002C661D" w:rsidRDefault="0041638E" w:rsidP="0041638E">
      <w:pPr>
        <w:jc w:val="both"/>
        <w:rPr>
          <w:rFonts w:ascii="Arial" w:hAnsi="Arial" w:cs="Arial"/>
          <w:u w:val="single"/>
        </w:rPr>
      </w:pPr>
      <w:r w:rsidRPr="002C661D">
        <w:rPr>
          <w:rFonts w:ascii="Arial" w:hAnsi="Arial" w:cs="Arial"/>
          <w:u w:val="single"/>
        </w:rPr>
        <w:t>Document</w:t>
      </w:r>
      <w:r w:rsidRPr="002C661D">
        <w:rPr>
          <w:rFonts w:ascii="Arial" w:hAnsi="Arial" w:cs="Arial"/>
        </w:rPr>
        <w:t> :</w:t>
      </w:r>
    </w:p>
    <w:p w:rsidR="0041638E" w:rsidRDefault="0041638E" w:rsidP="0041638E">
      <w:pPr>
        <w:jc w:val="both"/>
        <w:rPr>
          <w:rFonts w:ascii="Arial" w:hAnsi="Arial" w:cs="Arial"/>
          <w:b/>
          <w:sz w:val="28"/>
          <w:u w:val="single"/>
        </w:rPr>
      </w:pPr>
    </w:p>
    <w:p w:rsidR="0041638E" w:rsidRDefault="0041638E" w:rsidP="0041638E">
      <w:pPr>
        <w:jc w:val="center"/>
        <w:rPr>
          <w:rFonts w:ascii="Arial" w:hAnsi="Arial" w:cs="Arial"/>
          <w:b/>
          <w:sz w:val="28"/>
          <w:u w:val="single"/>
        </w:rPr>
      </w:pPr>
      <w:r>
        <w:rPr>
          <w:noProof/>
        </w:rPr>
        <w:drawing>
          <wp:inline distT="0" distB="0" distL="0" distR="0">
            <wp:extent cx="5684520" cy="422148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lum bright="20000" contrast="12000"/>
                      <a:grayscl/>
                    </a:blip>
                    <a:srcRect l="33452" t="19931" r="17598" b="15501"/>
                    <a:stretch>
                      <a:fillRect/>
                    </a:stretch>
                  </pic:blipFill>
                  <pic:spPr bwMode="auto">
                    <a:xfrm>
                      <a:off x="0" y="0"/>
                      <a:ext cx="5684520" cy="4221480"/>
                    </a:xfrm>
                    <a:prstGeom prst="rect">
                      <a:avLst/>
                    </a:prstGeom>
                    <a:noFill/>
                    <a:ln w="9525">
                      <a:noFill/>
                      <a:miter lim="800000"/>
                      <a:headEnd/>
                      <a:tailEnd/>
                    </a:ln>
                  </pic:spPr>
                </pic:pic>
              </a:graphicData>
            </a:graphic>
          </wp:inline>
        </w:drawing>
      </w:r>
    </w:p>
    <w:p w:rsidR="0041638E" w:rsidRPr="002C661D" w:rsidRDefault="0041638E" w:rsidP="0041638E">
      <w:pPr>
        <w:pStyle w:val="Sansinterligne"/>
        <w:jc w:val="both"/>
        <w:rPr>
          <w:rFonts w:ascii="Arial" w:hAnsi="Arial" w:cs="Arial"/>
          <w:i/>
          <w:sz w:val="20"/>
          <w:szCs w:val="20"/>
        </w:rPr>
      </w:pPr>
    </w:p>
    <w:p w:rsidR="0041638E" w:rsidRPr="002C661D" w:rsidRDefault="0041638E" w:rsidP="0041638E">
      <w:pPr>
        <w:pStyle w:val="Sansinterligne"/>
        <w:jc w:val="right"/>
        <w:rPr>
          <w:rFonts w:ascii="Arial" w:hAnsi="Arial" w:cs="Arial"/>
          <w:i/>
          <w:sz w:val="20"/>
          <w:szCs w:val="20"/>
        </w:rPr>
      </w:pPr>
      <w:r w:rsidRPr="002C661D">
        <w:rPr>
          <w:rFonts w:ascii="Arial" w:hAnsi="Arial" w:cs="Arial"/>
          <w:i/>
          <w:sz w:val="20"/>
          <w:szCs w:val="20"/>
        </w:rPr>
        <w:t>(</w:t>
      </w:r>
      <w:proofErr w:type="gramStart"/>
      <w:r w:rsidRPr="002C661D">
        <w:rPr>
          <w:rFonts w:ascii="Arial" w:hAnsi="Arial" w:cs="Arial"/>
          <w:i/>
          <w:sz w:val="20"/>
          <w:szCs w:val="20"/>
        </w:rPr>
        <w:t>d</w:t>
      </w:r>
      <w:r>
        <w:rPr>
          <w:rFonts w:ascii="Arial" w:hAnsi="Arial" w:cs="Arial"/>
          <w:i/>
          <w:sz w:val="20"/>
          <w:szCs w:val="20"/>
        </w:rPr>
        <w:t>’après</w:t>
      </w:r>
      <w:proofErr w:type="gramEnd"/>
      <w:r>
        <w:rPr>
          <w:rFonts w:ascii="Arial" w:hAnsi="Arial" w:cs="Arial"/>
          <w:i/>
          <w:sz w:val="20"/>
          <w:szCs w:val="20"/>
        </w:rPr>
        <w:t xml:space="preserve"> b</w:t>
      </w:r>
      <w:r w:rsidRPr="002C661D">
        <w:rPr>
          <w:rFonts w:ascii="Arial" w:hAnsi="Arial" w:cs="Arial"/>
          <w:i/>
          <w:sz w:val="20"/>
          <w:szCs w:val="20"/>
        </w:rPr>
        <w:t>anque de schéma</w:t>
      </w:r>
      <w:r>
        <w:rPr>
          <w:rFonts w:ascii="Arial" w:hAnsi="Arial" w:cs="Arial"/>
          <w:i/>
          <w:sz w:val="20"/>
          <w:szCs w:val="20"/>
        </w:rPr>
        <w:t xml:space="preserve"> SVT</w:t>
      </w:r>
      <w:r w:rsidRPr="002C661D">
        <w:rPr>
          <w:rFonts w:ascii="Arial" w:hAnsi="Arial" w:cs="Arial"/>
          <w:i/>
          <w:sz w:val="20"/>
          <w:szCs w:val="20"/>
        </w:rPr>
        <w:t xml:space="preserve"> </w:t>
      </w:r>
      <w:proofErr w:type="spellStart"/>
      <w:r w:rsidRPr="002C661D">
        <w:rPr>
          <w:rFonts w:ascii="Arial" w:hAnsi="Arial" w:cs="Arial"/>
          <w:i/>
          <w:sz w:val="20"/>
          <w:szCs w:val="20"/>
        </w:rPr>
        <w:t>Ac</w:t>
      </w:r>
      <w:proofErr w:type="spellEnd"/>
      <w:r w:rsidRPr="002C661D">
        <w:rPr>
          <w:rFonts w:ascii="Arial" w:hAnsi="Arial" w:cs="Arial"/>
          <w:i/>
          <w:sz w:val="20"/>
          <w:szCs w:val="20"/>
        </w:rPr>
        <w:t xml:space="preserve"> Dijon)</w:t>
      </w:r>
    </w:p>
    <w:p w:rsidR="0041638E" w:rsidRDefault="0041638E" w:rsidP="0041638E">
      <w:pPr>
        <w:pStyle w:val="Sansinterligne"/>
        <w:jc w:val="both"/>
        <w:rPr>
          <w:rFonts w:ascii="Arial" w:hAnsi="Arial" w:cs="Arial"/>
          <w:i/>
          <w:szCs w:val="20"/>
        </w:rPr>
      </w:pPr>
    </w:p>
    <w:p w:rsidR="0041638E" w:rsidRDefault="0041638E" w:rsidP="0041638E">
      <w:pPr>
        <w:pStyle w:val="Sansinterligne"/>
        <w:jc w:val="both"/>
        <w:rPr>
          <w:rFonts w:ascii="Arial" w:hAnsi="Arial" w:cs="Arial"/>
          <w:i/>
          <w:szCs w:val="20"/>
        </w:rPr>
      </w:pPr>
    </w:p>
    <w:p w:rsidR="0041638E" w:rsidRPr="002C661D" w:rsidRDefault="0041638E" w:rsidP="0041638E">
      <w:pPr>
        <w:pStyle w:val="Sansinterligne"/>
        <w:jc w:val="both"/>
        <w:rPr>
          <w:rFonts w:ascii="Arial" w:hAnsi="Arial" w:cs="Arial"/>
          <w:i/>
          <w:szCs w:val="20"/>
        </w:rPr>
      </w:pPr>
      <w:r w:rsidRPr="002C661D">
        <w:rPr>
          <w:rFonts w:ascii="Arial" w:hAnsi="Arial" w:cs="Arial"/>
          <w:i/>
          <w:szCs w:val="20"/>
        </w:rPr>
        <w:t>Sérum : fraction liquide du sang (sans les cellules)</w:t>
      </w:r>
    </w:p>
    <w:p w:rsidR="0041638E" w:rsidRPr="002C661D" w:rsidRDefault="0041638E" w:rsidP="0041638E">
      <w:pPr>
        <w:pStyle w:val="Sansinterligne"/>
        <w:jc w:val="both"/>
        <w:rPr>
          <w:rFonts w:ascii="Arial" w:hAnsi="Arial" w:cs="Arial"/>
          <w:i/>
          <w:szCs w:val="20"/>
        </w:rPr>
      </w:pPr>
      <w:r w:rsidRPr="002C661D">
        <w:rPr>
          <w:rFonts w:ascii="Arial" w:hAnsi="Arial" w:cs="Arial"/>
          <w:i/>
          <w:szCs w:val="20"/>
        </w:rPr>
        <w:t>Toxine tétanique : substance toxique provenant d’une bactérie et responsable du tétanos</w:t>
      </w:r>
    </w:p>
    <w:p w:rsidR="0041638E" w:rsidRPr="002C661D" w:rsidRDefault="0041638E" w:rsidP="0041638E">
      <w:pPr>
        <w:pStyle w:val="Sansinterligne"/>
        <w:jc w:val="both"/>
        <w:rPr>
          <w:rFonts w:ascii="Arial" w:hAnsi="Arial" w:cs="Arial"/>
          <w:i/>
          <w:szCs w:val="20"/>
        </w:rPr>
      </w:pPr>
      <w:r w:rsidRPr="002C661D">
        <w:rPr>
          <w:rFonts w:ascii="Arial" w:hAnsi="Arial" w:cs="Arial"/>
          <w:i/>
          <w:szCs w:val="20"/>
        </w:rPr>
        <w:t>Diphtérie : maladie causée par une bactérie différente de celle du tétanos.</w:t>
      </w:r>
    </w:p>
    <w:p w:rsidR="0041638E" w:rsidRDefault="0041638E" w:rsidP="0041638E">
      <w:pPr>
        <w:pStyle w:val="Sansinterligne"/>
        <w:jc w:val="both"/>
        <w:rPr>
          <w:rFonts w:ascii="Calibri" w:hAnsi="Calibri"/>
          <w:i/>
          <w:sz w:val="20"/>
          <w:szCs w:val="20"/>
        </w:rPr>
      </w:pPr>
    </w:p>
    <w:p w:rsidR="0041638E" w:rsidRDefault="0041638E" w:rsidP="0041638E">
      <w:pPr>
        <w:pStyle w:val="Sansinterligne"/>
        <w:jc w:val="both"/>
        <w:rPr>
          <w:rFonts w:ascii="Calibri" w:hAnsi="Calibri"/>
          <w:i/>
          <w:sz w:val="20"/>
          <w:szCs w:val="20"/>
        </w:rPr>
      </w:pPr>
    </w:p>
    <w:p w:rsidR="0041638E" w:rsidRPr="00C40589" w:rsidRDefault="0041638E" w:rsidP="0041638E">
      <w:pPr>
        <w:pStyle w:val="Sansinterligne"/>
        <w:jc w:val="both"/>
        <w:rPr>
          <w:rFonts w:ascii="Calibri" w:hAnsi="Calibri"/>
          <w:i/>
          <w:sz w:val="20"/>
          <w:szCs w:val="20"/>
        </w:rPr>
      </w:pPr>
    </w:p>
    <w:p w:rsidR="0041638E" w:rsidRPr="00391517" w:rsidRDefault="0041638E" w:rsidP="0041638E">
      <w:pPr>
        <w:jc w:val="both"/>
        <w:rPr>
          <w:rFonts w:ascii="Arial" w:hAnsi="Arial" w:cs="Arial"/>
          <w:b/>
        </w:rPr>
      </w:pPr>
      <w:r w:rsidRPr="00391517">
        <w:rPr>
          <w:rFonts w:ascii="Arial" w:hAnsi="Arial" w:cs="Arial"/>
          <w:b/>
        </w:rPr>
        <w:t>Exploiter rig</w:t>
      </w:r>
      <w:r>
        <w:rPr>
          <w:rFonts w:ascii="Arial" w:hAnsi="Arial" w:cs="Arial"/>
          <w:b/>
        </w:rPr>
        <w:t xml:space="preserve">oureusement les expériences et </w:t>
      </w:r>
      <w:r w:rsidRPr="00391517">
        <w:rPr>
          <w:rFonts w:ascii="Arial" w:hAnsi="Arial" w:cs="Arial"/>
          <w:b/>
        </w:rPr>
        <w:t>utiliser vos connaissances pour expliquer le mécanisme de l’immunité adaptative mis en évidence par Von Behring.</w:t>
      </w:r>
    </w:p>
    <w:p w:rsidR="00A72F58" w:rsidRDefault="00A72F58" w:rsidP="00A81E30">
      <w:pPr>
        <w:jc w:val="both"/>
        <w:rPr>
          <w:rFonts w:ascii="Arial" w:hAnsi="Arial" w:cs="Arial"/>
          <w:b/>
          <w:sz w:val="28"/>
          <w:u w:val="single"/>
        </w:rPr>
      </w:pPr>
    </w:p>
    <w:p w:rsidR="00A72F58" w:rsidRDefault="00A72F58" w:rsidP="00A81E30">
      <w:pPr>
        <w:jc w:val="both"/>
        <w:rPr>
          <w:rFonts w:ascii="Arial" w:hAnsi="Arial" w:cs="Arial"/>
          <w:b/>
          <w:sz w:val="28"/>
          <w:u w:val="single"/>
        </w:rPr>
      </w:pPr>
    </w:p>
    <w:p w:rsidR="004F180D" w:rsidRDefault="004F180D" w:rsidP="00A81E30">
      <w:pPr>
        <w:jc w:val="both"/>
        <w:rPr>
          <w:rFonts w:ascii="Arial" w:hAnsi="Arial" w:cs="Arial"/>
          <w:b/>
          <w:sz w:val="28"/>
          <w:u w:val="single"/>
        </w:rPr>
      </w:pPr>
    </w:p>
    <w:p w:rsidR="00A81E30" w:rsidRDefault="0041638E" w:rsidP="00A81E30">
      <w:pPr>
        <w:jc w:val="both"/>
        <w:rPr>
          <w:rFonts w:ascii="Arial" w:hAnsi="Arial" w:cs="Arial"/>
          <w:b/>
          <w:sz w:val="28"/>
          <w:u w:val="single"/>
        </w:rPr>
      </w:pPr>
      <w:r>
        <w:rPr>
          <w:rFonts w:ascii="Arial" w:hAnsi="Arial" w:cs="Arial"/>
          <w:b/>
          <w:sz w:val="28"/>
          <w:u w:val="single"/>
        </w:rPr>
        <w:lastRenderedPageBreak/>
        <w:t>Question 2</w:t>
      </w:r>
      <w:r w:rsidR="00A81E30">
        <w:rPr>
          <w:rFonts w:ascii="Arial" w:hAnsi="Arial" w:cs="Arial"/>
          <w:b/>
          <w:sz w:val="28"/>
          <w:u w:val="single"/>
        </w:rPr>
        <w:t> :</w:t>
      </w:r>
    </w:p>
    <w:p w:rsidR="00A81E30" w:rsidRPr="004F180D" w:rsidRDefault="00A81E30" w:rsidP="00A81E30">
      <w:pPr>
        <w:jc w:val="both"/>
        <w:rPr>
          <w:rFonts w:ascii="Arial" w:hAnsi="Arial" w:cs="Arial"/>
          <w:b/>
          <w:sz w:val="20"/>
          <w:u w:val="single"/>
        </w:rPr>
      </w:pPr>
    </w:p>
    <w:p w:rsidR="00A81E30" w:rsidRPr="0041638E" w:rsidRDefault="00A81E30" w:rsidP="00A81E30">
      <w:pPr>
        <w:jc w:val="both"/>
        <w:rPr>
          <w:rFonts w:ascii="Arial" w:hAnsi="Arial" w:cs="Arial"/>
        </w:rPr>
      </w:pPr>
      <w:r w:rsidRPr="0041638E">
        <w:rPr>
          <w:rFonts w:ascii="Arial" w:hAnsi="Arial" w:cs="Arial"/>
        </w:rPr>
        <w:t>Diverses molécules minérales peuvent influer</w:t>
      </w:r>
      <w:r w:rsidR="00FD127D" w:rsidRPr="0041638E">
        <w:rPr>
          <w:rFonts w:ascii="Arial" w:hAnsi="Arial" w:cs="Arial"/>
        </w:rPr>
        <w:t xml:space="preserve"> sur</w:t>
      </w:r>
      <w:r w:rsidRPr="0041638E">
        <w:rPr>
          <w:rFonts w:ascii="Arial" w:hAnsi="Arial" w:cs="Arial"/>
        </w:rPr>
        <w:t xml:space="preserve"> les métabolismes cellulaires.</w:t>
      </w:r>
    </w:p>
    <w:p w:rsidR="00A81E30" w:rsidRPr="0041638E" w:rsidRDefault="00A81E30" w:rsidP="00A81E30">
      <w:pPr>
        <w:jc w:val="both"/>
        <w:rPr>
          <w:rFonts w:ascii="Arial" w:hAnsi="Arial" w:cs="Arial"/>
          <w:b/>
          <w:sz w:val="20"/>
          <w:u w:val="single"/>
        </w:rPr>
      </w:pPr>
    </w:p>
    <w:p w:rsidR="00A81E30" w:rsidRPr="0041638E" w:rsidRDefault="00A81E30" w:rsidP="00A81E30">
      <w:pPr>
        <w:jc w:val="both"/>
        <w:rPr>
          <w:rFonts w:ascii="Arial" w:hAnsi="Arial" w:cs="Arial"/>
          <w:u w:val="single"/>
        </w:rPr>
      </w:pPr>
      <w:r w:rsidRPr="0041638E">
        <w:rPr>
          <w:rFonts w:ascii="Arial" w:hAnsi="Arial" w:cs="Arial"/>
          <w:u w:val="single"/>
        </w:rPr>
        <w:t>Document 1</w:t>
      </w:r>
      <w:r w:rsidR="004F180D" w:rsidRPr="0041638E">
        <w:rPr>
          <w:rFonts w:ascii="Arial" w:hAnsi="Arial" w:cs="Arial"/>
        </w:rPr>
        <w:t> :</w:t>
      </w:r>
    </w:p>
    <w:p w:rsidR="0041638E" w:rsidRPr="0041638E" w:rsidRDefault="0041638E" w:rsidP="004F180D">
      <w:pPr>
        <w:jc w:val="both"/>
        <w:rPr>
          <w:rFonts w:ascii="Arial" w:hAnsi="Arial" w:cs="Arial"/>
          <w:color w:val="000000"/>
          <w:sz w:val="20"/>
          <w:shd w:val="clear" w:color="auto" w:fill="FFFFFF"/>
        </w:rPr>
      </w:pPr>
    </w:p>
    <w:p w:rsidR="004F180D" w:rsidRPr="0041638E" w:rsidRDefault="00A81E30" w:rsidP="004F180D">
      <w:pPr>
        <w:jc w:val="both"/>
        <w:rPr>
          <w:rFonts w:ascii="Arial" w:hAnsi="Arial" w:cs="Arial"/>
          <w:color w:val="000000"/>
          <w:sz w:val="22"/>
          <w:shd w:val="clear" w:color="auto" w:fill="FFFFFF"/>
        </w:rPr>
      </w:pPr>
      <w:r w:rsidRPr="0041638E">
        <w:rPr>
          <w:rFonts w:ascii="Arial" w:hAnsi="Arial" w:cs="Arial"/>
          <w:color w:val="000000"/>
          <w:sz w:val="22"/>
          <w:shd w:val="clear" w:color="auto" w:fill="FFFFFF"/>
        </w:rPr>
        <w:t>Une suspension de chloroplastes et de mitochondries issus de végétaux verts est placée en condition de survie dans une cuve à réaction en vue de réaliser l'expérience de Hill.</w:t>
      </w:r>
    </w:p>
    <w:p w:rsidR="004F180D" w:rsidRPr="0041638E" w:rsidRDefault="004F180D" w:rsidP="004F180D">
      <w:pPr>
        <w:jc w:val="both"/>
        <w:rPr>
          <w:rFonts w:ascii="Arial" w:hAnsi="Arial" w:cs="Arial"/>
          <w:color w:val="000000"/>
          <w:sz w:val="18"/>
          <w:shd w:val="clear" w:color="auto" w:fill="FFFFFF"/>
        </w:rPr>
      </w:pPr>
    </w:p>
    <w:p w:rsidR="00A81E30" w:rsidRPr="0041638E" w:rsidRDefault="00FD127D" w:rsidP="004F180D">
      <w:pPr>
        <w:jc w:val="both"/>
        <w:rPr>
          <w:color w:val="000000"/>
          <w:sz w:val="22"/>
        </w:rPr>
      </w:pPr>
      <w:r w:rsidRPr="0041638E">
        <w:rPr>
          <w:rFonts w:ascii="Arial" w:hAnsi="Arial" w:cs="Arial"/>
          <w:color w:val="000000"/>
          <w:sz w:val="22"/>
          <w:shd w:val="clear" w:color="auto" w:fill="FFFFFF"/>
        </w:rPr>
        <w:t>On suit le dégagement de di</w:t>
      </w:r>
      <w:r w:rsidR="00A81E30" w:rsidRPr="0041638E">
        <w:rPr>
          <w:rFonts w:ascii="Arial" w:hAnsi="Arial" w:cs="Arial"/>
          <w:color w:val="000000"/>
          <w:sz w:val="22"/>
          <w:shd w:val="clear" w:color="auto" w:fill="FFFFFF"/>
        </w:rPr>
        <w:t>oxygène au cours de quatre périodes qui se succèden</w:t>
      </w:r>
      <w:r w:rsidRPr="0041638E">
        <w:rPr>
          <w:rFonts w:ascii="Arial" w:hAnsi="Arial" w:cs="Arial"/>
          <w:color w:val="000000"/>
          <w:sz w:val="22"/>
          <w:shd w:val="clear" w:color="auto" w:fill="FFFFFF"/>
        </w:rPr>
        <w:t xml:space="preserve">t dans le temps </w:t>
      </w:r>
      <w:r w:rsidR="00A81E30" w:rsidRPr="0041638E">
        <w:rPr>
          <w:rFonts w:ascii="Arial" w:hAnsi="Arial" w:cs="Arial"/>
          <w:color w:val="000000"/>
          <w:sz w:val="22"/>
          <w:shd w:val="clear" w:color="auto" w:fill="FFFFFF"/>
        </w:rPr>
        <w:t>(voir graphe).</w:t>
      </w:r>
    </w:p>
    <w:p w:rsidR="00A81E30" w:rsidRPr="0041638E" w:rsidRDefault="00A81E30" w:rsidP="004F180D">
      <w:pPr>
        <w:numPr>
          <w:ilvl w:val="0"/>
          <w:numId w:val="1"/>
        </w:numPr>
        <w:ind w:left="714" w:hanging="357"/>
        <w:jc w:val="both"/>
        <w:rPr>
          <w:rFonts w:ascii="Arial" w:hAnsi="Arial" w:cs="Arial"/>
          <w:color w:val="000000"/>
          <w:sz w:val="22"/>
        </w:rPr>
      </w:pPr>
      <w:r w:rsidRPr="0041638E">
        <w:rPr>
          <w:rFonts w:ascii="Arial" w:hAnsi="Arial" w:cs="Arial"/>
          <w:color w:val="000000"/>
          <w:sz w:val="22"/>
        </w:rPr>
        <w:t xml:space="preserve">Dans </w:t>
      </w:r>
      <w:r w:rsidR="004F180D" w:rsidRPr="0041638E">
        <w:rPr>
          <w:rFonts w:ascii="Arial" w:hAnsi="Arial" w:cs="Arial"/>
          <w:color w:val="000000"/>
          <w:sz w:val="22"/>
        </w:rPr>
        <w:t>la</w:t>
      </w:r>
      <w:r w:rsidRPr="0041638E">
        <w:rPr>
          <w:rFonts w:ascii="Arial" w:hAnsi="Arial" w:cs="Arial"/>
          <w:color w:val="000000"/>
          <w:sz w:val="22"/>
        </w:rPr>
        <w:t xml:space="preserve"> période T1</w:t>
      </w:r>
      <w:r w:rsidR="004F180D" w:rsidRPr="0041638E">
        <w:rPr>
          <w:rFonts w:ascii="Arial" w:hAnsi="Arial" w:cs="Arial"/>
          <w:color w:val="000000"/>
          <w:sz w:val="22"/>
        </w:rPr>
        <w:t>,</w:t>
      </w:r>
      <w:r w:rsidRPr="0041638E">
        <w:rPr>
          <w:rFonts w:ascii="Arial" w:hAnsi="Arial" w:cs="Arial"/>
          <w:color w:val="000000"/>
          <w:sz w:val="22"/>
        </w:rPr>
        <w:t xml:space="preserve"> la suspension est à l'obscurité.</w:t>
      </w:r>
    </w:p>
    <w:p w:rsidR="00A81E30" w:rsidRPr="0041638E" w:rsidRDefault="00A81E30" w:rsidP="004F180D">
      <w:pPr>
        <w:numPr>
          <w:ilvl w:val="0"/>
          <w:numId w:val="1"/>
        </w:numPr>
        <w:spacing w:before="100" w:beforeAutospacing="1" w:after="100" w:afterAutospacing="1"/>
        <w:jc w:val="both"/>
        <w:rPr>
          <w:rFonts w:ascii="Arial" w:hAnsi="Arial" w:cs="Arial"/>
          <w:color w:val="000000"/>
          <w:sz w:val="22"/>
        </w:rPr>
      </w:pPr>
      <w:r w:rsidRPr="0041638E">
        <w:rPr>
          <w:rFonts w:ascii="Arial" w:hAnsi="Arial" w:cs="Arial"/>
          <w:color w:val="000000"/>
          <w:sz w:val="22"/>
        </w:rPr>
        <w:t>En période T2</w:t>
      </w:r>
      <w:r w:rsidR="004F180D" w:rsidRPr="0041638E">
        <w:rPr>
          <w:rFonts w:ascii="Arial" w:hAnsi="Arial" w:cs="Arial"/>
          <w:color w:val="000000"/>
          <w:sz w:val="22"/>
        </w:rPr>
        <w:t>,</w:t>
      </w:r>
      <w:r w:rsidRPr="0041638E">
        <w:rPr>
          <w:rFonts w:ascii="Arial" w:hAnsi="Arial" w:cs="Arial"/>
          <w:color w:val="000000"/>
          <w:sz w:val="22"/>
        </w:rPr>
        <w:t xml:space="preserve"> la suspension est à la lumière.</w:t>
      </w:r>
    </w:p>
    <w:p w:rsidR="00A81E30" w:rsidRPr="0041638E" w:rsidRDefault="00A81E30" w:rsidP="004F180D">
      <w:pPr>
        <w:numPr>
          <w:ilvl w:val="0"/>
          <w:numId w:val="1"/>
        </w:numPr>
        <w:spacing w:before="100" w:beforeAutospacing="1" w:after="100" w:afterAutospacing="1"/>
        <w:jc w:val="both"/>
        <w:rPr>
          <w:rFonts w:ascii="Arial" w:hAnsi="Arial" w:cs="Arial"/>
          <w:color w:val="000000"/>
          <w:sz w:val="22"/>
        </w:rPr>
      </w:pPr>
      <w:r w:rsidRPr="0041638E">
        <w:rPr>
          <w:rFonts w:ascii="Arial" w:hAnsi="Arial" w:cs="Arial"/>
          <w:color w:val="000000"/>
          <w:sz w:val="22"/>
        </w:rPr>
        <w:t>En période T3</w:t>
      </w:r>
      <w:r w:rsidR="004F180D" w:rsidRPr="0041638E">
        <w:rPr>
          <w:rFonts w:ascii="Arial" w:hAnsi="Arial" w:cs="Arial"/>
          <w:color w:val="000000"/>
          <w:sz w:val="22"/>
        </w:rPr>
        <w:t>,</w:t>
      </w:r>
      <w:r w:rsidRPr="0041638E">
        <w:rPr>
          <w:rFonts w:ascii="Arial" w:hAnsi="Arial" w:cs="Arial"/>
          <w:color w:val="000000"/>
          <w:sz w:val="22"/>
        </w:rPr>
        <w:t xml:space="preserve"> la suspension reçoit la même intensité lumineuse mais on injecte dans le milieu du ferricyan</w:t>
      </w:r>
      <w:r w:rsidR="00FD127D" w:rsidRPr="0041638E">
        <w:rPr>
          <w:rFonts w:ascii="Arial" w:hAnsi="Arial" w:cs="Arial"/>
          <w:color w:val="000000"/>
          <w:sz w:val="22"/>
        </w:rPr>
        <w:t>ure de potassium (ion ferrique) ou réactif de Hill</w:t>
      </w:r>
    </w:p>
    <w:p w:rsidR="00A81E30" w:rsidRPr="0041638E" w:rsidRDefault="00A81E30" w:rsidP="004F180D">
      <w:pPr>
        <w:numPr>
          <w:ilvl w:val="0"/>
          <w:numId w:val="1"/>
        </w:numPr>
        <w:spacing w:before="100" w:beforeAutospacing="1" w:after="100" w:afterAutospacing="1"/>
        <w:jc w:val="both"/>
        <w:rPr>
          <w:rFonts w:ascii="Arial" w:hAnsi="Arial" w:cs="Arial"/>
          <w:color w:val="000000"/>
          <w:sz w:val="22"/>
        </w:rPr>
      </w:pPr>
      <w:r w:rsidRPr="0041638E">
        <w:rPr>
          <w:rFonts w:ascii="Arial" w:hAnsi="Arial" w:cs="Arial"/>
          <w:color w:val="000000"/>
          <w:sz w:val="22"/>
        </w:rPr>
        <w:t>Enfin</w:t>
      </w:r>
      <w:r w:rsidR="004F180D" w:rsidRPr="0041638E">
        <w:rPr>
          <w:rFonts w:ascii="Arial" w:hAnsi="Arial" w:cs="Arial"/>
          <w:color w:val="000000"/>
          <w:sz w:val="22"/>
        </w:rPr>
        <w:t>,</w:t>
      </w:r>
      <w:r w:rsidRPr="0041638E">
        <w:rPr>
          <w:rFonts w:ascii="Arial" w:hAnsi="Arial" w:cs="Arial"/>
          <w:color w:val="000000"/>
          <w:sz w:val="22"/>
        </w:rPr>
        <w:t xml:space="preserve"> en T4</w:t>
      </w:r>
      <w:r w:rsidR="004F180D" w:rsidRPr="0041638E">
        <w:rPr>
          <w:rFonts w:ascii="Arial" w:hAnsi="Arial" w:cs="Arial"/>
          <w:color w:val="000000"/>
          <w:sz w:val="22"/>
        </w:rPr>
        <w:t>,</w:t>
      </w:r>
      <w:r w:rsidRPr="0041638E">
        <w:rPr>
          <w:rFonts w:ascii="Arial" w:hAnsi="Arial" w:cs="Arial"/>
          <w:color w:val="000000"/>
          <w:sz w:val="22"/>
        </w:rPr>
        <w:t xml:space="preserve"> l'obscurité est faite à nouveau.</w:t>
      </w:r>
    </w:p>
    <w:p w:rsidR="00A81E30" w:rsidRPr="0041638E" w:rsidRDefault="00A81E30" w:rsidP="00A81E30">
      <w:pPr>
        <w:jc w:val="center"/>
        <w:rPr>
          <w:rFonts w:ascii="Arial" w:hAnsi="Arial" w:cs="Arial"/>
          <w:color w:val="660033"/>
        </w:rPr>
      </w:pPr>
      <w:r w:rsidRPr="0041638E">
        <w:rPr>
          <w:rFonts w:ascii="Arial" w:hAnsi="Arial" w:cs="Arial"/>
          <w:noProof/>
          <w:color w:val="660033"/>
        </w:rPr>
        <w:drawing>
          <wp:inline distT="0" distB="0" distL="0" distR="0">
            <wp:extent cx="3810000" cy="2270760"/>
            <wp:effectExtent l="0" t="0" r="0" b="0"/>
            <wp:docPr id="1" name="Image 1" descr="expérience de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xpérience de Hi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2270760"/>
                    </a:xfrm>
                    <a:prstGeom prst="rect">
                      <a:avLst/>
                    </a:prstGeom>
                    <a:noFill/>
                    <a:ln>
                      <a:noFill/>
                    </a:ln>
                  </pic:spPr>
                </pic:pic>
              </a:graphicData>
            </a:graphic>
          </wp:inline>
        </w:drawing>
      </w:r>
    </w:p>
    <w:p w:rsidR="00780033" w:rsidRPr="0041638E" w:rsidRDefault="00780033" w:rsidP="00780033">
      <w:pPr>
        <w:jc w:val="both"/>
        <w:rPr>
          <w:rFonts w:ascii="Arial" w:hAnsi="Arial" w:cs="Arial"/>
          <w:u w:val="single"/>
        </w:rPr>
      </w:pPr>
    </w:p>
    <w:p w:rsidR="00780033" w:rsidRPr="0041638E" w:rsidRDefault="00780033" w:rsidP="00780033">
      <w:pPr>
        <w:jc w:val="both"/>
        <w:rPr>
          <w:rFonts w:ascii="Arial" w:hAnsi="Arial" w:cs="Arial"/>
          <w:u w:val="single"/>
        </w:rPr>
      </w:pPr>
      <w:r w:rsidRPr="0041638E">
        <w:rPr>
          <w:rFonts w:ascii="Arial" w:hAnsi="Arial" w:cs="Arial"/>
          <w:u w:val="single"/>
        </w:rPr>
        <w:t>Document 2</w:t>
      </w:r>
      <w:r w:rsidR="0041638E" w:rsidRPr="0041638E">
        <w:rPr>
          <w:rFonts w:ascii="Arial" w:hAnsi="Arial" w:cs="Arial"/>
        </w:rPr>
        <w:t> :</w:t>
      </w:r>
    </w:p>
    <w:p w:rsidR="00780033" w:rsidRPr="0041638E" w:rsidRDefault="00780033" w:rsidP="0041638E">
      <w:pPr>
        <w:jc w:val="both"/>
        <w:rPr>
          <w:rFonts w:ascii="Arial" w:hAnsi="Arial" w:cs="Arial"/>
          <w:color w:val="660033"/>
        </w:rPr>
      </w:pPr>
    </w:p>
    <w:p w:rsidR="004F180D" w:rsidRPr="0041638E" w:rsidRDefault="00780033" w:rsidP="0041638E">
      <w:pPr>
        <w:jc w:val="both"/>
        <w:rPr>
          <w:rFonts w:ascii="Arial" w:hAnsi="Arial" w:cs="Arial"/>
          <w:color w:val="000000"/>
          <w:sz w:val="22"/>
          <w:shd w:val="clear" w:color="auto" w:fill="FFFFFF"/>
        </w:rPr>
      </w:pPr>
      <w:r w:rsidRPr="0041638E">
        <w:rPr>
          <w:rFonts w:ascii="Arial" w:hAnsi="Arial" w:cs="Arial"/>
          <w:color w:val="000000"/>
          <w:sz w:val="22"/>
          <w:shd w:val="clear" w:color="auto" w:fill="FFFFFF"/>
        </w:rPr>
        <w:t>Une suspension purifiée de mitochondries vivantes est obtenue par centrifugation différentielle de cellules. Cette suspension est introduite dans un milieu initialement saturé en dioxygène et maintenu à pH constant pendant toute la durée de l'expérience. Le dispositif permet d'introduire dans le milieu diverses substances, et de mesurer les variations des concentrations de dioxygène et d'ATP en fonction du temps. </w:t>
      </w:r>
    </w:p>
    <w:p w:rsidR="004F180D" w:rsidRPr="0041638E" w:rsidRDefault="004F180D" w:rsidP="0041638E">
      <w:pPr>
        <w:jc w:val="both"/>
        <w:rPr>
          <w:rFonts w:ascii="Arial" w:hAnsi="Arial" w:cs="Arial"/>
          <w:color w:val="000000"/>
          <w:sz w:val="18"/>
          <w:shd w:val="clear" w:color="auto" w:fill="FFFFFF"/>
        </w:rPr>
      </w:pPr>
    </w:p>
    <w:p w:rsidR="00780033" w:rsidRPr="0041638E" w:rsidRDefault="00780033" w:rsidP="0041638E">
      <w:pPr>
        <w:jc w:val="both"/>
        <w:rPr>
          <w:rFonts w:ascii="Arial" w:hAnsi="Arial" w:cs="Arial"/>
          <w:color w:val="000000"/>
          <w:sz w:val="22"/>
          <w:shd w:val="clear" w:color="auto" w:fill="FFFFFF"/>
        </w:rPr>
      </w:pPr>
      <w:r w:rsidRPr="0041638E">
        <w:rPr>
          <w:rFonts w:ascii="Arial" w:hAnsi="Arial" w:cs="Arial"/>
          <w:color w:val="000000"/>
          <w:sz w:val="22"/>
          <w:shd w:val="clear" w:color="auto" w:fill="FFFFFF"/>
        </w:rPr>
        <w:t>Les résultats de ces mesures ont permis de tracer les courbes a et b ci-dessous.</w:t>
      </w:r>
    </w:p>
    <w:p w:rsidR="004F180D" w:rsidRPr="0041638E" w:rsidRDefault="004F180D" w:rsidP="0041638E">
      <w:pPr>
        <w:jc w:val="both"/>
        <w:rPr>
          <w:color w:val="000000"/>
        </w:rPr>
      </w:pP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5250"/>
        <w:gridCol w:w="5225"/>
      </w:tblGrid>
      <w:tr w:rsidR="0041638E" w:rsidRPr="0041638E" w:rsidTr="0041638E">
        <w:trPr>
          <w:tblCellSpacing w:w="15" w:type="dxa"/>
          <w:jc w:val="center"/>
        </w:trPr>
        <w:tc>
          <w:tcPr>
            <w:tcW w:w="5205" w:type="dxa"/>
            <w:vAlign w:val="center"/>
          </w:tcPr>
          <w:p w:rsidR="0041638E" w:rsidRPr="0041638E" w:rsidRDefault="0041638E" w:rsidP="0041638E">
            <w:pPr>
              <w:jc w:val="center"/>
              <w:rPr>
                <w:rFonts w:ascii="Arial" w:hAnsi="Arial" w:cs="Arial"/>
                <w:color w:val="000000"/>
              </w:rPr>
            </w:pPr>
            <w:r w:rsidRPr="0041638E">
              <w:rPr>
                <w:rFonts w:ascii="Arial" w:hAnsi="Arial" w:cs="Arial"/>
                <w:noProof/>
                <w:color w:val="000000"/>
              </w:rPr>
              <w:drawing>
                <wp:inline distT="0" distB="0" distL="0" distR="0">
                  <wp:extent cx="2781300" cy="1303020"/>
                  <wp:effectExtent l="0" t="0" r="0" b="0"/>
                  <wp:docPr id="16" name="Image 3" descr="0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0203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303020"/>
                          </a:xfrm>
                          <a:prstGeom prst="rect">
                            <a:avLst/>
                          </a:prstGeom>
                          <a:noFill/>
                          <a:ln>
                            <a:noFill/>
                          </a:ln>
                        </pic:spPr>
                      </pic:pic>
                    </a:graphicData>
                  </a:graphic>
                </wp:inline>
              </w:drawing>
            </w:r>
          </w:p>
        </w:tc>
        <w:tc>
          <w:tcPr>
            <w:tcW w:w="5180" w:type="dxa"/>
            <w:vAlign w:val="center"/>
          </w:tcPr>
          <w:p w:rsidR="0041638E" w:rsidRPr="0041638E" w:rsidRDefault="0041638E" w:rsidP="0041638E">
            <w:pPr>
              <w:jc w:val="center"/>
              <w:rPr>
                <w:rFonts w:ascii="Arial" w:hAnsi="Arial" w:cs="Arial"/>
                <w:noProof/>
                <w:color w:val="000000"/>
              </w:rPr>
            </w:pPr>
            <w:r w:rsidRPr="0041638E">
              <w:rPr>
                <w:rFonts w:ascii="Arial" w:hAnsi="Arial" w:cs="Arial"/>
                <w:noProof/>
                <w:color w:val="000000"/>
              </w:rPr>
              <w:drawing>
                <wp:inline distT="0" distB="0" distL="0" distR="0">
                  <wp:extent cx="2800350" cy="1584960"/>
                  <wp:effectExtent l="19050" t="0" r="0" b="0"/>
                  <wp:docPr id="17" name="Image 2" descr="02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0203b"/>
                          <pic:cNvPicPr>
                            <a:picLocks noChangeAspect="1" noChangeArrowheads="1"/>
                          </pic:cNvPicPr>
                        </pic:nvPicPr>
                        <pic:blipFill>
                          <a:blip r:embed="rId9" cstate="print">
                            <a:extLst>
                              <a:ext uri="{28A0092B-C50C-407E-A947-70E740481C1C}">
                                <a14:useLocalDpi xmlns:a14="http://schemas.microsoft.com/office/drawing/2010/main" val="0"/>
                              </a:ext>
                            </a:extLst>
                          </a:blip>
                          <a:srcRect b="-9616"/>
                          <a:stretch>
                            <a:fillRect/>
                          </a:stretch>
                        </pic:blipFill>
                        <pic:spPr bwMode="auto">
                          <a:xfrm>
                            <a:off x="0" y="0"/>
                            <a:ext cx="2800350" cy="1584960"/>
                          </a:xfrm>
                          <a:prstGeom prst="rect">
                            <a:avLst/>
                          </a:prstGeom>
                          <a:noFill/>
                          <a:ln>
                            <a:noFill/>
                          </a:ln>
                        </pic:spPr>
                      </pic:pic>
                    </a:graphicData>
                  </a:graphic>
                </wp:inline>
              </w:drawing>
            </w:r>
          </w:p>
        </w:tc>
      </w:tr>
      <w:tr w:rsidR="0041638E" w:rsidRPr="0041638E" w:rsidTr="0041638E">
        <w:trPr>
          <w:trHeight w:val="721"/>
          <w:tblCellSpacing w:w="15" w:type="dxa"/>
          <w:jc w:val="center"/>
        </w:trPr>
        <w:tc>
          <w:tcPr>
            <w:tcW w:w="5205" w:type="dxa"/>
          </w:tcPr>
          <w:p w:rsidR="0041638E" w:rsidRPr="0041638E" w:rsidRDefault="0041638E" w:rsidP="004F180D">
            <w:pPr>
              <w:rPr>
                <w:rFonts w:ascii="Arial" w:hAnsi="Arial" w:cs="Arial"/>
                <w:color w:val="000000"/>
                <w:sz w:val="20"/>
              </w:rPr>
            </w:pPr>
            <w:r w:rsidRPr="0041638E">
              <w:rPr>
                <w:rFonts w:ascii="Arial" w:hAnsi="Arial" w:cs="Arial"/>
                <w:color w:val="000000"/>
                <w:sz w:val="20"/>
              </w:rPr>
              <w:t>t</w:t>
            </w:r>
            <w:r w:rsidRPr="0041638E">
              <w:rPr>
                <w:rFonts w:ascii="Arial" w:hAnsi="Arial" w:cs="Arial"/>
                <w:color w:val="000000"/>
                <w:sz w:val="20"/>
                <w:vertAlign w:val="subscript"/>
              </w:rPr>
              <w:t>1</w:t>
            </w:r>
            <w:r w:rsidRPr="0041638E">
              <w:rPr>
                <w:rFonts w:ascii="Arial" w:hAnsi="Arial" w:cs="Arial"/>
                <w:color w:val="000000"/>
                <w:sz w:val="20"/>
              </w:rPr>
              <w:t> : addition d'une suspension de mitochondries</w:t>
            </w:r>
          </w:p>
          <w:p w:rsidR="0041638E" w:rsidRPr="0041638E" w:rsidRDefault="0041638E" w:rsidP="004F180D">
            <w:pPr>
              <w:rPr>
                <w:rFonts w:ascii="Arial" w:hAnsi="Arial" w:cs="Arial"/>
                <w:color w:val="000000"/>
                <w:sz w:val="20"/>
              </w:rPr>
            </w:pPr>
            <w:r w:rsidRPr="0041638E">
              <w:rPr>
                <w:rFonts w:ascii="Arial" w:hAnsi="Arial" w:cs="Arial"/>
                <w:color w:val="000000"/>
                <w:sz w:val="20"/>
              </w:rPr>
              <w:t>t</w:t>
            </w:r>
            <w:r w:rsidRPr="0041638E">
              <w:rPr>
                <w:rFonts w:ascii="Arial" w:hAnsi="Arial" w:cs="Arial"/>
                <w:color w:val="000000"/>
                <w:sz w:val="20"/>
                <w:vertAlign w:val="subscript"/>
              </w:rPr>
              <w:t>2</w:t>
            </w:r>
            <w:r w:rsidRPr="0041638E">
              <w:rPr>
                <w:rFonts w:ascii="Arial" w:hAnsi="Arial" w:cs="Arial"/>
                <w:color w:val="000000"/>
                <w:sz w:val="20"/>
              </w:rPr>
              <w:t> : addition de glucose </w:t>
            </w:r>
          </w:p>
          <w:p w:rsidR="0041638E" w:rsidRPr="0041638E" w:rsidRDefault="0041638E" w:rsidP="0041638E">
            <w:pPr>
              <w:rPr>
                <w:rFonts w:ascii="Arial" w:hAnsi="Arial" w:cs="Arial"/>
                <w:color w:val="000000"/>
              </w:rPr>
            </w:pPr>
            <w:r w:rsidRPr="0041638E">
              <w:rPr>
                <w:rFonts w:ascii="Arial" w:hAnsi="Arial" w:cs="Arial"/>
                <w:color w:val="000000"/>
                <w:sz w:val="20"/>
              </w:rPr>
              <w:t>t</w:t>
            </w:r>
            <w:r w:rsidRPr="0041638E">
              <w:rPr>
                <w:rFonts w:ascii="Arial" w:hAnsi="Arial" w:cs="Arial"/>
                <w:color w:val="000000"/>
                <w:sz w:val="20"/>
                <w:vertAlign w:val="subscript"/>
              </w:rPr>
              <w:t>3</w:t>
            </w:r>
            <w:r w:rsidRPr="0041638E">
              <w:rPr>
                <w:rFonts w:ascii="Arial" w:hAnsi="Arial" w:cs="Arial"/>
                <w:color w:val="000000"/>
                <w:sz w:val="20"/>
              </w:rPr>
              <w:t> : addition de pyruvate </w:t>
            </w:r>
          </w:p>
        </w:tc>
        <w:tc>
          <w:tcPr>
            <w:tcW w:w="5180" w:type="dxa"/>
          </w:tcPr>
          <w:p w:rsidR="0041638E" w:rsidRPr="0041638E" w:rsidRDefault="0041638E" w:rsidP="0041638E">
            <w:pPr>
              <w:rPr>
                <w:rFonts w:ascii="Arial" w:hAnsi="Arial" w:cs="Arial"/>
                <w:color w:val="000000"/>
                <w:sz w:val="20"/>
              </w:rPr>
            </w:pPr>
            <w:r w:rsidRPr="0041638E">
              <w:rPr>
                <w:rFonts w:ascii="Arial" w:hAnsi="Arial" w:cs="Arial"/>
                <w:color w:val="000000"/>
                <w:sz w:val="20"/>
              </w:rPr>
              <w:t>t</w:t>
            </w:r>
            <w:r w:rsidRPr="0041638E">
              <w:rPr>
                <w:rFonts w:ascii="Arial" w:hAnsi="Arial" w:cs="Arial"/>
                <w:color w:val="000000"/>
                <w:sz w:val="20"/>
                <w:vertAlign w:val="subscript"/>
              </w:rPr>
              <w:t>4</w:t>
            </w:r>
            <w:r w:rsidRPr="0041638E">
              <w:rPr>
                <w:rFonts w:ascii="Arial" w:hAnsi="Arial" w:cs="Arial"/>
                <w:color w:val="000000"/>
                <w:sz w:val="20"/>
              </w:rPr>
              <w:t> : addition d'ADP + phosphate</w:t>
            </w:r>
          </w:p>
          <w:p w:rsidR="0041638E" w:rsidRPr="0041638E" w:rsidRDefault="0041638E" w:rsidP="0041638E">
            <w:pPr>
              <w:rPr>
                <w:rFonts w:ascii="Arial" w:hAnsi="Arial" w:cs="Arial"/>
                <w:color w:val="000000"/>
                <w:sz w:val="20"/>
              </w:rPr>
            </w:pPr>
            <w:r w:rsidRPr="0041638E">
              <w:rPr>
                <w:rFonts w:ascii="Arial" w:hAnsi="Arial" w:cs="Arial"/>
                <w:color w:val="000000"/>
                <w:sz w:val="20"/>
              </w:rPr>
              <w:t>t</w:t>
            </w:r>
            <w:r w:rsidRPr="0041638E">
              <w:rPr>
                <w:rFonts w:ascii="Arial" w:hAnsi="Arial" w:cs="Arial"/>
                <w:color w:val="000000"/>
                <w:sz w:val="20"/>
                <w:vertAlign w:val="subscript"/>
              </w:rPr>
              <w:t>5</w:t>
            </w:r>
            <w:r w:rsidRPr="0041638E">
              <w:rPr>
                <w:rFonts w:ascii="Arial" w:hAnsi="Arial" w:cs="Arial"/>
                <w:color w:val="000000"/>
                <w:sz w:val="20"/>
              </w:rPr>
              <w:t> : addition de cyanure</w:t>
            </w:r>
          </w:p>
        </w:tc>
      </w:tr>
    </w:tbl>
    <w:p w:rsidR="00780033" w:rsidRPr="0041638E" w:rsidRDefault="00780033" w:rsidP="00780033"/>
    <w:p w:rsidR="00780033" w:rsidRPr="0041638E" w:rsidRDefault="00780033" w:rsidP="00780033">
      <w:pPr>
        <w:jc w:val="both"/>
        <w:rPr>
          <w:rFonts w:ascii="Arial" w:hAnsi="Arial" w:cs="Arial"/>
          <w:b/>
        </w:rPr>
      </w:pPr>
      <w:r w:rsidRPr="0041638E">
        <w:rPr>
          <w:rFonts w:ascii="Arial" w:hAnsi="Arial" w:cs="Arial"/>
          <w:b/>
        </w:rPr>
        <w:t>Exploiter ces documents pour démontrer l’influence des deux substances que sont :</w:t>
      </w:r>
    </w:p>
    <w:p w:rsidR="00780033" w:rsidRPr="0041638E" w:rsidRDefault="004F180D" w:rsidP="00780033">
      <w:pPr>
        <w:jc w:val="both"/>
        <w:rPr>
          <w:rFonts w:ascii="Arial" w:hAnsi="Arial" w:cs="Arial"/>
          <w:b/>
        </w:rPr>
      </w:pPr>
      <w:r w:rsidRPr="0041638E">
        <w:rPr>
          <w:rFonts w:ascii="Arial" w:hAnsi="Arial" w:cs="Arial"/>
          <w:b/>
        </w:rPr>
        <w:t xml:space="preserve">- </w:t>
      </w:r>
      <w:r w:rsidR="00780033" w:rsidRPr="0041638E">
        <w:rPr>
          <w:rFonts w:ascii="Arial" w:hAnsi="Arial" w:cs="Arial"/>
          <w:b/>
        </w:rPr>
        <w:t xml:space="preserve">les ions ferriques sur le métabolisme des cellules végétales chlorophylliennes </w:t>
      </w:r>
    </w:p>
    <w:p w:rsidR="00EC4E29" w:rsidRPr="0041638E" w:rsidRDefault="00780033" w:rsidP="004F180D">
      <w:pPr>
        <w:jc w:val="both"/>
      </w:pPr>
      <w:r w:rsidRPr="0041638E">
        <w:rPr>
          <w:rFonts w:ascii="Arial" w:hAnsi="Arial" w:cs="Arial"/>
          <w:b/>
        </w:rPr>
        <w:t>- le cyanure sur le métabolisme des cellules animales.</w:t>
      </w:r>
    </w:p>
    <w:sectPr w:rsidR="00EC4E29" w:rsidRPr="0041638E" w:rsidSect="00A81E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22294"/>
    <w:multiLevelType w:val="multilevel"/>
    <w:tmpl w:val="7A0E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81E30"/>
    <w:rsid w:val="003A3E3E"/>
    <w:rsid w:val="0041638E"/>
    <w:rsid w:val="004F180D"/>
    <w:rsid w:val="00606897"/>
    <w:rsid w:val="00780033"/>
    <w:rsid w:val="00827865"/>
    <w:rsid w:val="00832FDA"/>
    <w:rsid w:val="00917FCB"/>
    <w:rsid w:val="00A72F58"/>
    <w:rsid w:val="00A81E30"/>
    <w:rsid w:val="00CF10A5"/>
    <w:rsid w:val="00E16905"/>
    <w:rsid w:val="00EC4E29"/>
    <w:rsid w:val="00FD1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3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A81E30"/>
  </w:style>
  <w:style w:type="paragraph" w:styleId="Textedebulles">
    <w:name w:val="Balloon Text"/>
    <w:basedOn w:val="Normal"/>
    <w:link w:val="TextedebullesCar"/>
    <w:uiPriority w:val="99"/>
    <w:semiHidden/>
    <w:unhideWhenUsed/>
    <w:rsid w:val="00A81E30"/>
    <w:rPr>
      <w:rFonts w:ascii="Tahoma" w:hAnsi="Tahoma" w:cs="Tahoma"/>
      <w:sz w:val="16"/>
      <w:szCs w:val="16"/>
    </w:rPr>
  </w:style>
  <w:style w:type="character" w:customStyle="1" w:styleId="TextedebullesCar">
    <w:name w:val="Texte de bulles Car"/>
    <w:basedOn w:val="Policepardfaut"/>
    <w:link w:val="Textedebulles"/>
    <w:uiPriority w:val="99"/>
    <w:semiHidden/>
    <w:rsid w:val="00A81E30"/>
    <w:rPr>
      <w:rFonts w:ascii="Tahoma" w:eastAsia="Times New Roman" w:hAnsi="Tahoma" w:cs="Tahoma"/>
      <w:sz w:val="16"/>
      <w:szCs w:val="16"/>
      <w:lang w:eastAsia="fr-FR"/>
    </w:rPr>
  </w:style>
  <w:style w:type="paragraph" w:styleId="Sansinterligne">
    <w:name w:val="No Spacing"/>
    <w:qFormat/>
    <w:rsid w:val="0041638E"/>
    <w:pPr>
      <w:spacing w:after="0"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3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A81E30"/>
  </w:style>
  <w:style w:type="paragraph" w:styleId="Textedebulles">
    <w:name w:val="Balloon Text"/>
    <w:basedOn w:val="Normal"/>
    <w:link w:val="TextedebullesCar"/>
    <w:uiPriority w:val="99"/>
    <w:semiHidden/>
    <w:unhideWhenUsed/>
    <w:rsid w:val="00A81E30"/>
    <w:rPr>
      <w:rFonts w:ascii="Tahoma" w:hAnsi="Tahoma" w:cs="Tahoma"/>
      <w:sz w:val="16"/>
      <w:szCs w:val="16"/>
    </w:rPr>
  </w:style>
  <w:style w:type="character" w:customStyle="1" w:styleId="TextedebullesCar">
    <w:name w:val="Texte de bulles Car"/>
    <w:basedOn w:val="Policepardfaut"/>
    <w:link w:val="Textedebulles"/>
    <w:uiPriority w:val="99"/>
    <w:semiHidden/>
    <w:rsid w:val="00A81E3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2184</Characters>
  <Application>Microsoft Office Word</Application>
  <DocSecurity>0</DocSecurity>
  <Lines>18</Lines>
  <Paragraphs>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lpstr>
    </vt:vector>
  </TitlesOfParts>
  <Company>Hewlett-Packard</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pela</cp:lastModifiedBy>
  <cp:revision>3</cp:revision>
  <dcterms:created xsi:type="dcterms:W3CDTF">2014-06-24T20:13:00Z</dcterms:created>
  <dcterms:modified xsi:type="dcterms:W3CDTF">2014-06-26T06:27:00Z</dcterms:modified>
</cp:coreProperties>
</file>